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94D54">
      <w:pPr>
        <w:pageBreakBefore w:val="0"/>
        <w:kinsoku/>
        <w:wordWrap/>
        <w:topLinePunct w:val="0"/>
        <w:bidi w:val="0"/>
        <w:snapToGrid w:val="0"/>
        <w:spacing w:line="360" w:lineRule="auto"/>
        <w:ind w:right="25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舞钢市水利局舞钢市韦河薄冲至朱兰段治理工程勘察设计项目</w:t>
      </w:r>
    </w:p>
    <w:p w14:paraId="15E254D1">
      <w:pPr>
        <w:pageBreakBefore w:val="0"/>
        <w:kinsoku/>
        <w:wordWrap/>
        <w:topLinePunct w:val="0"/>
        <w:bidi w:val="0"/>
        <w:snapToGrid w:val="0"/>
        <w:spacing w:line="360" w:lineRule="auto"/>
        <w:ind w:right="25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竞争性磋商公告</w:t>
      </w:r>
    </w:p>
    <w:p w14:paraId="3F7A26CB">
      <w:pPr>
        <w:pageBreakBefore w:val="0"/>
        <w:kinsoku/>
        <w:wordWrap/>
        <w:topLinePunct w:val="0"/>
        <w:bidi w:val="0"/>
        <w:snapToGri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119B9A61">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舞钢市水利局舞钢市韦河薄冲至朱兰段治理工程勘察设计项目</w:t>
      </w:r>
      <w:r>
        <w:rPr>
          <w:rFonts w:hint="eastAsia" w:ascii="宋体" w:hAnsi="宋体" w:eastAsia="宋体" w:cs="宋体"/>
          <w:color w:val="auto"/>
          <w:sz w:val="24"/>
          <w:szCs w:val="24"/>
          <w:highlight w:val="none"/>
        </w:rPr>
        <w:t>的潜在供应商应</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rPr>
        <w:t>全国公共资源交易平台（河南省.舞钢市）获取</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文件，并于</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01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分（北京时间）前递交</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w:t>
      </w:r>
    </w:p>
    <w:p w14:paraId="2536E6DD">
      <w:pPr>
        <w:pageBreakBefore w:val="0"/>
        <w:kinsoku/>
        <w:wordWrap/>
        <w:topLinePunct w:val="0"/>
        <w:bidi w:val="0"/>
        <w:snapToGrid w:val="0"/>
        <w:spacing w:line="360" w:lineRule="auto"/>
        <w:textAlignment w:val="auto"/>
        <w:outlineLvl w:val="1"/>
        <w:rPr>
          <w:rFonts w:hint="eastAsia" w:ascii="宋体" w:hAnsi="宋体" w:eastAsia="宋体" w:cs="宋体"/>
          <w:b/>
          <w:bCs/>
          <w:color w:val="auto"/>
          <w:sz w:val="24"/>
          <w:szCs w:val="24"/>
          <w:highlight w:val="none"/>
        </w:rPr>
      </w:pPr>
      <w:bookmarkStart w:id="0" w:name="_Toc20174"/>
      <w:bookmarkStart w:id="1" w:name="_Toc15389"/>
      <w:bookmarkStart w:id="2" w:name="_Toc669"/>
      <w:bookmarkStart w:id="3" w:name="_Toc27985"/>
      <w:r>
        <w:rPr>
          <w:rFonts w:hint="eastAsia" w:ascii="宋体" w:hAnsi="宋体" w:eastAsia="宋体" w:cs="宋体"/>
          <w:b/>
          <w:bCs/>
          <w:color w:val="auto"/>
          <w:sz w:val="24"/>
          <w:szCs w:val="24"/>
          <w:highlight w:val="none"/>
        </w:rPr>
        <w:t>一、项目基本情况：</w:t>
      </w:r>
      <w:bookmarkEnd w:id="0"/>
      <w:bookmarkEnd w:id="1"/>
      <w:bookmarkEnd w:id="2"/>
      <w:bookmarkEnd w:id="3"/>
    </w:p>
    <w:p w14:paraId="5E5D0362">
      <w:pPr>
        <w:pageBreakBefore w:val="0"/>
        <w:kinsoku/>
        <w:wordWrap/>
        <w:topLinePunct w:val="0"/>
        <w:bidi w:val="0"/>
        <w:snapToGrid w:val="0"/>
        <w:spacing w:line="360" w:lineRule="auto"/>
        <w:ind w:firstLine="480" w:firstLineChars="20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1.采购编号：</w:t>
      </w:r>
      <w:r>
        <w:rPr>
          <w:rFonts w:hint="eastAsia" w:ascii="宋体" w:hAnsi="宋体" w:eastAsia="宋体" w:cs="宋体"/>
          <w:color w:val="auto"/>
          <w:sz w:val="24"/>
          <w:szCs w:val="24"/>
          <w:highlight w:val="none"/>
          <w:lang w:val="en-US" w:eastAsia="zh-CN"/>
        </w:rPr>
        <w:t>舞采磋商-2026-58</w:t>
      </w:r>
    </w:p>
    <w:p w14:paraId="3A692C23">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eastAsia="zh-CN"/>
        </w:rPr>
        <w:t>舞钢市水利局舞钢市韦河薄冲至朱兰段治理工程勘察设计项目</w:t>
      </w:r>
    </w:p>
    <w:p w14:paraId="3E6AEAC7">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3.采购方式：</w:t>
      </w:r>
      <w:r>
        <w:rPr>
          <w:rFonts w:hint="eastAsia" w:ascii="宋体" w:hAnsi="宋体" w:eastAsia="宋体" w:cs="宋体"/>
          <w:color w:val="auto"/>
          <w:sz w:val="24"/>
          <w:szCs w:val="24"/>
          <w:highlight w:val="none"/>
          <w:lang w:eastAsia="zh-CN"/>
        </w:rPr>
        <w:t>竞争性磋商</w:t>
      </w:r>
    </w:p>
    <w:p w14:paraId="731664D3">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900000.00</w:t>
      </w:r>
      <w:r>
        <w:rPr>
          <w:rFonts w:hint="eastAsia" w:ascii="宋体" w:hAnsi="宋体" w:eastAsia="宋体" w:cs="宋体"/>
          <w:color w:val="auto"/>
          <w:sz w:val="24"/>
          <w:szCs w:val="24"/>
          <w:highlight w:val="none"/>
        </w:rPr>
        <w:t>元</w:t>
      </w:r>
    </w:p>
    <w:p w14:paraId="039988F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900000.00</w:t>
      </w:r>
      <w:r>
        <w:rPr>
          <w:rFonts w:hint="eastAsia" w:ascii="宋体" w:hAnsi="宋体" w:eastAsia="宋体" w:cs="宋体"/>
          <w:color w:val="auto"/>
          <w:sz w:val="24"/>
          <w:szCs w:val="24"/>
          <w:highlight w:val="none"/>
        </w:rPr>
        <w:t>元</w:t>
      </w:r>
    </w:p>
    <w:tbl>
      <w:tblPr>
        <w:tblStyle w:val="6"/>
        <w:tblW w:w="9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953"/>
        <w:gridCol w:w="2588"/>
        <w:gridCol w:w="1352"/>
        <w:gridCol w:w="1416"/>
        <w:gridCol w:w="1513"/>
        <w:gridCol w:w="1473"/>
      </w:tblGrid>
      <w:tr w14:paraId="686A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78" w:type="dxa"/>
            <w:noWrap w:val="0"/>
            <w:vAlign w:val="center"/>
          </w:tcPr>
          <w:p w14:paraId="6D325044">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953" w:type="dxa"/>
            <w:noWrap w:val="0"/>
            <w:vAlign w:val="center"/>
          </w:tcPr>
          <w:p w14:paraId="1A38A5D1">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包号</w:t>
            </w:r>
          </w:p>
        </w:tc>
        <w:tc>
          <w:tcPr>
            <w:tcW w:w="2588" w:type="dxa"/>
            <w:noWrap w:val="0"/>
            <w:vAlign w:val="center"/>
          </w:tcPr>
          <w:p w14:paraId="6B2F9956">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包名称</w:t>
            </w:r>
          </w:p>
        </w:tc>
        <w:tc>
          <w:tcPr>
            <w:tcW w:w="1352" w:type="dxa"/>
            <w:noWrap w:val="0"/>
            <w:vAlign w:val="center"/>
          </w:tcPr>
          <w:p w14:paraId="27813729">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包预算（元）</w:t>
            </w:r>
          </w:p>
        </w:tc>
        <w:tc>
          <w:tcPr>
            <w:tcW w:w="1416" w:type="dxa"/>
            <w:noWrap w:val="0"/>
            <w:vAlign w:val="center"/>
          </w:tcPr>
          <w:p w14:paraId="5318D1AB">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包最高限价（</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rPr>
              <w:t>）</w:t>
            </w:r>
          </w:p>
        </w:tc>
        <w:tc>
          <w:tcPr>
            <w:tcW w:w="1513" w:type="dxa"/>
            <w:noWrap w:val="0"/>
            <w:vAlign w:val="center"/>
          </w:tcPr>
          <w:p w14:paraId="44D40E97">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是否专门面向中小企业</w:t>
            </w:r>
          </w:p>
        </w:tc>
        <w:tc>
          <w:tcPr>
            <w:tcW w:w="1473" w:type="dxa"/>
            <w:noWrap w:val="0"/>
            <w:vAlign w:val="center"/>
          </w:tcPr>
          <w:p w14:paraId="588376F3">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采购预留金额（元</w:t>
            </w:r>
            <w:r>
              <w:rPr>
                <w:rFonts w:hint="eastAsia" w:ascii="宋体" w:hAnsi="宋体" w:eastAsia="宋体" w:cs="宋体"/>
                <w:color w:val="auto"/>
                <w:sz w:val="24"/>
                <w:szCs w:val="24"/>
                <w:highlight w:val="none"/>
                <w:lang w:eastAsia="zh-CN"/>
              </w:rPr>
              <w:t>）</w:t>
            </w:r>
          </w:p>
        </w:tc>
      </w:tr>
      <w:tr w14:paraId="1CC8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578" w:type="dxa"/>
            <w:noWrap w:val="0"/>
            <w:vAlign w:val="center"/>
          </w:tcPr>
          <w:p w14:paraId="6F524DF7">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953" w:type="dxa"/>
            <w:noWrap w:val="0"/>
            <w:vAlign w:val="center"/>
          </w:tcPr>
          <w:p w14:paraId="13F4280A">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E4104815144D00514</w:t>
            </w:r>
          </w:p>
        </w:tc>
        <w:tc>
          <w:tcPr>
            <w:tcW w:w="2588" w:type="dxa"/>
            <w:noWrap w:val="0"/>
            <w:vAlign w:val="center"/>
          </w:tcPr>
          <w:p w14:paraId="60D7C893">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舞钢市水利局舞钢市韦河薄冲至朱兰段治理工程勘察设计项目</w:t>
            </w:r>
          </w:p>
        </w:tc>
        <w:tc>
          <w:tcPr>
            <w:tcW w:w="1352" w:type="dxa"/>
            <w:noWrap w:val="0"/>
            <w:vAlign w:val="center"/>
          </w:tcPr>
          <w:p w14:paraId="25D59E1C">
            <w:pPr>
              <w:pageBreakBefore w:val="0"/>
              <w:kinsoku/>
              <w:wordWrap/>
              <w:topLinePunct w:val="0"/>
              <w:bidi w:val="0"/>
              <w:snapToGrid w:val="0"/>
              <w:spacing w:line="360" w:lineRule="auto"/>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900000.00</w:t>
            </w:r>
          </w:p>
        </w:tc>
        <w:tc>
          <w:tcPr>
            <w:tcW w:w="1416" w:type="dxa"/>
            <w:noWrap w:val="0"/>
            <w:vAlign w:val="center"/>
          </w:tcPr>
          <w:p w14:paraId="5B0A3F1B">
            <w:pPr>
              <w:pageBreakBefore w:val="0"/>
              <w:kinsoku/>
              <w:wordWrap/>
              <w:topLinePunct w:val="0"/>
              <w:bidi w:val="0"/>
              <w:snapToGrid w:val="0"/>
              <w:spacing w:line="360" w:lineRule="auto"/>
              <w:jc w:val="center"/>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900000.00</w:t>
            </w:r>
          </w:p>
        </w:tc>
        <w:tc>
          <w:tcPr>
            <w:tcW w:w="1513" w:type="dxa"/>
            <w:noWrap w:val="0"/>
            <w:vAlign w:val="center"/>
          </w:tcPr>
          <w:p w14:paraId="57B25FAF">
            <w:pPr>
              <w:pageBreakBefore w:val="0"/>
              <w:kinsoku/>
              <w:wordWrap/>
              <w:topLinePunct w:val="0"/>
              <w:bidi w:val="0"/>
              <w:snapToGrid w:val="0"/>
              <w:spacing w:line="360" w:lineRule="auto"/>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shd w:val="clear" w:color="auto" w:fill="auto"/>
                <w:lang w:eastAsia="zh-CN"/>
              </w:rPr>
              <w:t>是</w:t>
            </w:r>
          </w:p>
        </w:tc>
        <w:tc>
          <w:tcPr>
            <w:tcW w:w="1473" w:type="dxa"/>
            <w:noWrap w:val="0"/>
            <w:vAlign w:val="center"/>
          </w:tcPr>
          <w:p w14:paraId="0EF2DB35">
            <w:pPr>
              <w:pageBreakBefore w:val="0"/>
              <w:kinsoku/>
              <w:wordWrap/>
              <w:topLinePunct w:val="0"/>
              <w:bidi w:val="0"/>
              <w:snapToGrid w:val="0"/>
              <w:spacing w:line="360" w:lineRule="auto"/>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lang w:val="en-US" w:eastAsia="zh-CN"/>
              </w:rPr>
              <w:t>900000.00</w:t>
            </w:r>
          </w:p>
        </w:tc>
      </w:tr>
    </w:tbl>
    <w:p w14:paraId="4A902203">
      <w:pPr>
        <w:pageBreakBefore w:val="0"/>
        <w:tabs>
          <w:tab w:val="left" w:pos="475"/>
        </w:tabs>
        <w:kinsoku/>
        <w:wordWrap/>
        <w:topLinePunct w:val="0"/>
        <w:bidi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lang w:eastAsia="zh-CN"/>
        </w:rPr>
        <w:tab/>
      </w:r>
      <w:r>
        <w:rPr>
          <w:rFonts w:hint="eastAsia" w:ascii="宋体" w:hAnsi="宋体" w:eastAsia="宋体" w:cs="宋体"/>
          <w:color w:val="auto"/>
          <w:sz w:val="24"/>
          <w:szCs w:val="24"/>
          <w:highlight w:val="none"/>
          <w:lang w:val="en-US" w:eastAsia="zh-CN" w:bidi="ar-SA"/>
        </w:rPr>
        <w:t>5、采购需求（包括但不限于标的的名称、数量、简要技术需求或服务要求等）</w:t>
      </w:r>
      <w:r>
        <w:rPr>
          <w:rFonts w:hint="eastAsia" w:ascii="宋体" w:hAnsi="宋体" w:eastAsia="宋体" w:cs="宋体"/>
          <w:color w:val="auto"/>
          <w:sz w:val="24"/>
          <w:szCs w:val="24"/>
          <w:highlight w:val="none"/>
          <w:lang w:val="en-US" w:eastAsia="en-US" w:bidi="ar-SA"/>
        </w:rPr>
        <w:t xml:space="preserve"> </w:t>
      </w:r>
    </w:p>
    <w:p w14:paraId="78A90AE7">
      <w:pPr>
        <w:pStyle w:val="4"/>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（1）采购内容：</w:t>
      </w:r>
      <w:r>
        <w:rPr>
          <w:rFonts w:hint="eastAsia" w:ascii="宋体" w:hAnsi="宋体" w:eastAsia="宋体" w:cs="宋体"/>
          <w:color w:val="auto"/>
          <w:sz w:val="24"/>
          <w:szCs w:val="24"/>
          <w:highlight w:val="none"/>
          <w:shd w:val="clear" w:color="auto" w:fill="FFFFFF"/>
          <w:lang w:val="en-US" w:eastAsia="zh-CN"/>
        </w:rPr>
        <w:t>完成韦河薄冲至朱兰段治理工程勘察设计全过程工作，包含但不限于：项目建议书、可研报告阶段、初步设计阶段，施工图设计阶段所有工作、工程变更设计、设计成果技术交底、委派驻场代表、项目验收等全过程技术服务；需配合业主单位或主管单位进行技术审查和报批工作。</w:t>
      </w:r>
    </w:p>
    <w:p w14:paraId="25017B3C">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服务期</w:t>
      </w:r>
      <w:r>
        <w:rPr>
          <w:rFonts w:hint="eastAsia" w:ascii="宋体" w:hAnsi="宋体" w:eastAsia="宋体" w:cs="宋体"/>
          <w:color w:val="auto"/>
          <w:sz w:val="24"/>
          <w:szCs w:val="24"/>
          <w:highlight w:val="none"/>
          <w:lang w:val="en-US" w:eastAsia="zh-CN" w:bidi="ar-SA"/>
        </w:rPr>
        <w:t>限</w:t>
      </w:r>
      <w:r>
        <w:rPr>
          <w:rFonts w:hint="eastAsia" w:ascii="宋体" w:hAnsi="宋体" w:eastAsia="宋体" w:cs="宋体"/>
          <w:color w:val="auto"/>
          <w:sz w:val="24"/>
          <w:szCs w:val="24"/>
          <w:highlight w:val="none"/>
          <w:lang w:val="en-US" w:eastAsia="en-US" w:bidi="ar-SA"/>
        </w:rPr>
        <w:t>：合同签订后90日历天内完成项目建议书、可行性研究报告、初步设计、施工图设计并提交全部正式成果文件</w:t>
      </w:r>
      <w:r>
        <w:rPr>
          <w:rFonts w:hint="eastAsia" w:ascii="宋体" w:hAnsi="宋体" w:eastAsia="宋体" w:cs="宋体"/>
          <w:color w:val="auto"/>
          <w:sz w:val="24"/>
          <w:szCs w:val="24"/>
          <w:highlight w:val="none"/>
          <w:lang w:val="en-US" w:eastAsia="zh-CN" w:bidi="ar-SA"/>
        </w:rPr>
        <w:t>。</w:t>
      </w:r>
    </w:p>
    <w:p w14:paraId="0B429E47">
      <w:pPr>
        <w:pStyle w:val="4"/>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eastAsia="zh-CN"/>
        </w:rPr>
        <w:t>舞钢市</w:t>
      </w:r>
    </w:p>
    <w:p w14:paraId="3AFB3731">
      <w:pPr>
        <w:pStyle w:val="4"/>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val="en-US" w:eastAsia="zh-CN"/>
        </w:rPr>
        <w:t>符合国家现行相关规范和标准要求</w:t>
      </w:r>
      <w:r>
        <w:rPr>
          <w:rFonts w:hint="eastAsia" w:ascii="宋体" w:hAnsi="宋体" w:cs="宋体"/>
          <w:color w:val="auto"/>
          <w:sz w:val="24"/>
          <w:szCs w:val="24"/>
          <w:highlight w:val="none"/>
          <w:lang w:val="en-US" w:eastAsia="zh-CN"/>
        </w:rPr>
        <w:t>。</w:t>
      </w:r>
    </w:p>
    <w:p w14:paraId="200036D8">
      <w:pPr>
        <w:pStyle w:val="4"/>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）标段划分：</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共</w:t>
      </w:r>
      <w:r>
        <w:rPr>
          <w:rFonts w:hint="eastAsia" w:ascii="宋体" w:hAnsi="宋体" w:eastAsia="宋体" w:cs="宋体"/>
          <w:color w:val="auto"/>
          <w:sz w:val="24"/>
          <w:szCs w:val="24"/>
          <w:highlight w:val="none"/>
        </w:rPr>
        <w:t>划分为</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个</w:t>
      </w:r>
      <w:r>
        <w:rPr>
          <w:rFonts w:hint="eastAsia" w:ascii="宋体" w:hAnsi="宋体" w:eastAsia="宋体" w:cs="宋体"/>
          <w:color w:val="auto"/>
          <w:sz w:val="24"/>
          <w:szCs w:val="24"/>
          <w:highlight w:val="none"/>
          <w:lang w:eastAsia="zh-CN"/>
        </w:rPr>
        <w:t>标</w:t>
      </w:r>
      <w:r>
        <w:rPr>
          <w:rFonts w:hint="eastAsia" w:ascii="宋体" w:hAnsi="宋体" w:eastAsia="宋体" w:cs="宋体"/>
          <w:color w:val="auto"/>
          <w:sz w:val="24"/>
          <w:szCs w:val="24"/>
          <w:highlight w:val="none"/>
        </w:rPr>
        <w:t>段</w:t>
      </w:r>
      <w:r>
        <w:rPr>
          <w:rFonts w:hint="eastAsia" w:ascii="宋体" w:hAnsi="宋体" w:cs="宋体"/>
          <w:color w:val="auto"/>
          <w:sz w:val="24"/>
          <w:szCs w:val="24"/>
          <w:highlight w:val="none"/>
          <w:lang w:eastAsia="zh-CN"/>
        </w:rPr>
        <w:t>。</w:t>
      </w:r>
    </w:p>
    <w:p w14:paraId="4FEA5AD9">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lang w:eastAsia="zh-CN"/>
        </w:rPr>
        <w:t>）最高限价：本项目采用费率方式报价，本项目最高限价为</w:t>
      </w:r>
      <w:r>
        <w:rPr>
          <w:rFonts w:hint="eastAsia" w:ascii="宋体" w:hAnsi="宋体" w:eastAsia="宋体" w:cs="宋体"/>
          <w:color w:val="000000"/>
          <w:sz w:val="24"/>
          <w:szCs w:val="24"/>
          <w:highlight w:val="none"/>
          <w:lang w:val="en-US" w:eastAsia="zh-CN"/>
        </w:rPr>
        <w:t>按照项目初步设计批复概算对应的勘察设计基准收费额的100%。</w:t>
      </w:r>
    </w:p>
    <w:p w14:paraId="1BEA4151">
      <w:pPr>
        <w:pageBreakBefore w:val="0"/>
        <w:kinsoku/>
        <w:wordWrap/>
        <w:topLinePunct w:val="0"/>
        <w:bidi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6、合同履约期限：</w:t>
      </w:r>
      <w:r>
        <w:rPr>
          <w:rFonts w:hint="eastAsia" w:ascii="宋体" w:hAnsi="宋体" w:eastAsia="宋体" w:cs="宋体"/>
          <w:color w:val="auto"/>
          <w:sz w:val="24"/>
          <w:szCs w:val="24"/>
          <w:highlight w:val="none"/>
          <w:lang w:val="en-US" w:eastAsia="zh-CN" w:bidi="ar-SA"/>
        </w:rPr>
        <w:t>自合同签订之日起至工程竣工验收合格之日止。</w:t>
      </w:r>
    </w:p>
    <w:p w14:paraId="2E623E76">
      <w:pPr>
        <w:pStyle w:val="4"/>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、是否接受进口产品：否</w:t>
      </w:r>
    </w:p>
    <w:p w14:paraId="5572DB15">
      <w:pPr>
        <w:pStyle w:val="4"/>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、是否专门面向中小企业：是</w:t>
      </w:r>
    </w:p>
    <w:p w14:paraId="5AE87E7E">
      <w:pPr>
        <w:pageBreakBefore w:val="0"/>
        <w:kinsoku/>
        <w:wordWrap/>
        <w:topLinePunct w:val="0"/>
        <w:bidi w:val="0"/>
        <w:snapToGrid w:val="0"/>
        <w:spacing w:before="80" w:line="360" w:lineRule="auto"/>
        <w:ind w:right="4981"/>
        <w:textAlignment w:val="auto"/>
        <w:outlineLvl w:val="1"/>
        <w:rPr>
          <w:rFonts w:hint="eastAsia" w:ascii="宋体" w:hAnsi="宋体" w:eastAsia="宋体" w:cs="宋体"/>
          <w:b/>
          <w:bCs/>
          <w:color w:val="auto"/>
          <w:sz w:val="24"/>
          <w:szCs w:val="24"/>
          <w:highlight w:val="none"/>
        </w:rPr>
      </w:pPr>
      <w:bookmarkStart w:id="4" w:name="_Toc32683"/>
      <w:bookmarkStart w:id="5" w:name="_Toc26239"/>
      <w:bookmarkStart w:id="6" w:name="_Toc4325"/>
      <w:bookmarkStart w:id="7" w:name="_Toc21221"/>
      <w:r>
        <w:rPr>
          <w:rFonts w:hint="eastAsia" w:ascii="宋体" w:hAnsi="宋体" w:eastAsia="宋体" w:cs="宋体"/>
          <w:b/>
          <w:bCs/>
          <w:color w:val="auto"/>
          <w:sz w:val="24"/>
          <w:szCs w:val="24"/>
          <w:highlight w:val="none"/>
        </w:rPr>
        <w:t>二、申请人资格要求：</w:t>
      </w:r>
      <w:bookmarkEnd w:id="4"/>
      <w:bookmarkEnd w:id="5"/>
      <w:bookmarkEnd w:id="6"/>
      <w:bookmarkEnd w:id="7"/>
    </w:p>
    <w:p w14:paraId="4CBDC77D">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1、满足《中华人民共和国政府采购法》第二十二条规定；</w:t>
      </w:r>
    </w:p>
    <w:p w14:paraId="7B2C7108">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2、落实政府采购政策满足的资格要求： </w:t>
      </w:r>
    </w:p>
    <w:p w14:paraId="3C07F779">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根据《政府采购促进中小企业发展管理办法》财库〔2020〕46号规定，本项目专门面向中小企业采购，中小企业划型标准请依据工信部联企业〔2011〕300号文件之规定，大型企业不可参与本项目磋商。</w:t>
      </w:r>
    </w:p>
    <w:p w14:paraId="13957E77">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3、本项目的特定资格要求</w:t>
      </w:r>
    </w:p>
    <w:p w14:paraId="60800375">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bookmarkStart w:id="8" w:name="_Toc23568"/>
      <w:bookmarkStart w:id="9" w:name="_Toc8044"/>
      <w:r>
        <w:rPr>
          <w:rFonts w:hint="eastAsia" w:ascii="宋体" w:hAnsi="宋体" w:eastAsia="宋体" w:cs="宋体"/>
          <w:color w:val="auto"/>
          <w:sz w:val="24"/>
          <w:highlight w:val="none"/>
          <w:lang w:val="en-US" w:eastAsia="zh-CN"/>
        </w:rPr>
        <w:t>（1）供应商须具有独立承担民事责任能力的法人或其他组织，同时具有有效的营业执照、税务登记证、组织机构代码证或三证合一的营业执照；</w:t>
      </w:r>
    </w:p>
    <w:p w14:paraId="08EB66C1">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（2）供应商须具有行政主管部门核发的工程设计水利行业乙级及以上资质和工程勘察专业类乙级及以上资质；</w:t>
      </w:r>
    </w:p>
    <w:p w14:paraId="5F6DEEEE">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（3）拟派项目负责人须具备水利相关专业高级及以上技术职称，提供本单位2026年1月1日任意一个月有效缴纳的社保证明；</w:t>
      </w:r>
    </w:p>
    <w:p w14:paraId="543519D9">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单位负责人为同一人或者存在直接控股、管理关系的不同投标人，不得同时参加本次招标活动，须提供国家企业信用信息公示系统（网址http://www.gsxt.gov.cn/）公示的企业信息网页截图，至少应包含股东信息，查询日期为本公告发布之日起，网站截图应含有日期且显示查询结果；</w:t>
      </w:r>
    </w:p>
    <w:p w14:paraId="7D56DD46">
      <w:pPr>
        <w:keepNext w:val="0"/>
        <w:keepLines w:val="0"/>
        <w:pageBreakBefore w:val="0"/>
        <w:kinsoku/>
        <w:wordWrap/>
        <w:overflowPunct/>
        <w:topLinePunct w:val="0"/>
        <w:bidi w:val="0"/>
        <w:snapToGrid w:val="0"/>
        <w:spacing w:line="360" w:lineRule="auto"/>
        <w:ind w:firstLine="480" w:firstLineChars="200"/>
        <w:jc w:val="left"/>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（5）供应商出具企业及法定代表人无商业贿赂及无不正当竞争行为的承诺书；</w:t>
      </w:r>
      <w:r>
        <w:rPr>
          <w:rFonts w:hint="eastAsia" w:ascii="宋体" w:hAnsi="宋体" w:eastAsia="宋体" w:cs="宋体"/>
          <w:color w:val="auto"/>
          <w:sz w:val="24"/>
          <w:highlight w:val="none"/>
          <w:lang w:val="en-US" w:eastAsia="zh-CN"/>
        </w:rPr>
        <w:tab/>
      </w:r>
    </w:p>
    <w:p w14:paraId="03365D90">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（6）供应商提供企业、法定代表人无行贿犯罪记录，在中国裁判文书网查询（提供公告后网页查询截图）或供应商自行承诺；</w:t>
      </w:r>
    </w:p>
    <w:p w14:paraId="5A037A48">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根据《关于在政府采购活动中查询及使用信用记录有关问题的通知》(财库[2016]125号)和豫财购【2016】15号的规定，企业没有被列入“信用中国”网站的“失信被执行人”（跳转中国执行信息公开网）“重大税收违法失信主体名单”“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公告后相关网页查询页截图；</w:t>
      </w:r>
    </w:p>
    <w:p w14:paraId="464F6A1A">
      <w:pPr>
        <w:keepNext w:val="0"/>
        <w:keepLines w:val="0"/>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（8）本项目不接受联合体磋商。</w:t>
      </w:r>
      <w:r>
        <w:rPr>
          <w:rFonts w:hint="eastAsia" w:ascii="宋体" w:hAnsi="宋体" w:eastAsia="宋体" w:cs="宋体"/>
          <w:color w:val="auto"/>
          <w:sz w:val="24"/>
          <w:highlight w:val="none"/>
          <w:lang w:eastAsia="zh-CN"/>
        </w:rPr>
        <w:t>实行资格后审。</w:t>
      </w:r>
    </w:p>
    <w:p w14:paraId="4950A227">
      <w:pPr>
        <w:pageBreakBefore w:val="0"/>
        <w:kinsoku/>
        <w:wordWrap/>
        <w:topLinePunct w:val="0"/>
        <w:bidi w:val="0"/>
        <w:snapToGrid w:val="0"/>
        <w:spacing w:before="34" w:line="360" w:lineRule="auto"/>
        <w:ind w:right="5752"/>
        <w:textAlignment w:val="auto"/>
        <w:outlineLvl w:val="1"/>
        <w:rPr>
          <w:rFonts w:hint="eastAsia" w:ascii="宋体" w:hAnsi="宋体" w:eastAsia="宋体" w:cs="宋体"/>
          <w:color w:val="auto"/>
          <w:sz w:val="24"/>
          <w:szCs w:val="24"/>
          <w:highlight w:val="none"/>
          <w:lang w:eastAsia="zh-CN"/>
        </w:rPr>
      </w:pPr>
      <w:bookmarkStart w:id="10" w:name="_Toc26009"/>
      <w:bookmarkStart w:id="11" w:name="_Toc6620"/>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获取采购文件：</w:t>
      </w:r>
      <w:bookmarkEnd w:id="8"/>
      <w:bookmarkEnd w:id="9"/>
      <w:bookmarkEnd w:id="10"/>
      <w:bookmarkEnd w:id="11"/>
      <w:r>
        <w:rPr>
          <w:rFonts w:hint="eastAsia" w:ascii="宋体" w:hAnsi="宋体" w:eastAsia="宋体" w:cs="宋体"/>
          <w:b/>
          <w:bCs/>
          <w:color w:val="auto"/>
          <w:w w:val="99"/>
          <w:sz w:val="24"/>
          <w:szCs w:val="24"/>
          <w:highlight w:val="none"/>
        </w:rPr>
        <w:t xml:space="preserve"> </w:t>
      </w:r>
      <w:r>
        <w:rPr>
          <w:rFonts w:hint="eastAsia" w:ascii="宋体" w:hAnsi="宋体" w:eastAsia="宋体" w:cs="宋体"/>
          <w:b/>
          <w:bCs/>
          <w:color w:val="auto"/>
          <w:w w:val="99"/>
          <w:sz w:val="24"/>
          <w:szCs w:val="24"/>
          <w:highlight w:val="none"/>
          <w:lang w:eastAsia="zh-CN"/>
        </w:rPr>
        <w:t xml:space="preserve"> </w:t>
      </w:r>
    </w:p>
    <w:p w14:paraId="72DAE985">
      <w:pPr>
        <w:pageBreakBefore w:val="0"/>
        <w:kinsoku/>
        <w:wordWrap/>
        <w:topLinePunct w:val="0"/>
        <w:bidi w:val="0"/>
        <w:snapToGrid w:val="0"/>
        <w:spacing w:before="31"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日，每天上午00:00至12:00，下午12:00至23:59（北京时间，法定节假日除外）。</w:t>
      </w:r>
    </w:p>
    <w:p w14:paraId="6B3BFEFF">
      <w:pPr>
        <w:pStyle w:val="4"/>
        <w:pageBreakBefore w:val="0"/>
        <w:kinsoku/>
        <w:wordWrap/>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bookmarkStart w:id="12" w:name="_Toc6296"/>
      <w:bookmarkStart w:id="13" w:name="_Toc28029"/>
      <w:r>
        <w:rPr>
          <w:rFonts w:hint="eastAsia" w:ascii="宋体" w:hAnsi="宋体" w:eastAsia="宋体" w:cs="宋体"/>
          <w:color w:val="auto"/>
          <w:sz w:val="24"/>
          <w:szCs w:val="24"/>
          <w:highlight w:val="none"/>
          <w:lang w:val="en-US" w:eastAsia="en-US"/>
        </w:rPr>
        <w:t>2.地点：全国公共资源交易平台（河南省.舞钢市）网站下载</w:t>
      </w:r>
      <w:bookmarkEnd w:id="12"/>
      <w:r>
        <w:rPr>
          <w:rFonts w:hint="eastAsia" w:ascii="宋体" w:hAnsi="宋体" w:eastAsia="宋体" w:cs="宋体"/>
          <w:color w:val="auto"/>
          <w:sz w:val="24"/>
          <w:szCs w:val="24"/>
          <w:highlight w:val="none"/>
          <w:lang w:val="en-US" w:eastAsia="zh-CN"/>
        </w:rPr>
        <w:t>。</w:t>
      </w:r>
      <w:bookmarkEnd w:id="13"/>
    </w:p>
    <w:p w14:paraId="3A4639A6">
      <w:pPr>
        <w:pageBreakBefore w:val="0"/>
        <w:kinsoku/>
        <w:wordWrap/>
        <w:topLinePunct w:val="0"/>
        <w:bidi w:val="0"/>
        <w:snapToGrid w:val="0"/>
        <w:spacing w:before="31"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3.方式：凡有意参加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者在</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之前须在“全国公共资源交易平台（河南省.舞钢市）”完成企业注册和办理CA数字证书，在公告规定时间内在“舞钢市政府采购/工程建设电子交易系统”下载招标文件、图纸（如有）、工程量清单（如有）等，方可参加投标。凡未按本公告规定下载</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无效。“企业注册和办理CA数字证书”请参考全国公共资源交易中心（河南省.舞钢市）“办事服务”的相关说明。</w:t>
      </w:r>
    </w:p>
    <w:p w14:paraId="4127DD63">
      <w:pPr>
        <w:pageBreakBefore w:val="0"/>
        <w:kinsoku/>
        <w:wordWrap/>
        <w:topLinePunct w:val="0"/>
        <w:bidi w:val="0"/>
        <w:snapToGrid w:val="0"/>
        <w:spacing w:before="31" w:line="360" w:lineRule="auto"/>
        <w:ind w:firstLine="480" w:firstLineChars="200"/>
        <w:textAlignment w:val="auto"/>
        <w:rPr>
          <w:rFonts w:hint="eastAsia" w:ascii="宋体" w:hAnsi="宋体" w:eastAsia="宋体" w:cs="宋体"/>
          <w:color w:val="auto"/>
          <w:sz w:val="24"/>
          <w:szCs w:val="24"/>
          <w:highlight w:val="none"/>
        </w:rPr>
      </w:pPr>
      <w:bookmarkStart w:id="14" w:name="_Toc10603"/>
      <w:bookmarkStart w:id="15" w:name="_Toc1643"/>
      <w:r>
        <w:rPr>
          <w:rFonts w:hint="eastAsia" w:ascii="宋体" w:hAnsi="宋体" w:eastAsia="宋体" w:cs="宋体"/>
          <w:color w:val="auto"/>
          <w:sz w:val="24"/>
          <w:szCs w:val="24"/>
          <w:highlight w:val="none"/>
        </w:rPr>
        <w:t>4.售价：0元。</w:t>
      </w:r>
      <w:bookmarkEnd w:id="14"/>
      <w:bookmarkEnd w:id="15"/>
    </w:p>
    <w:p w14:paraId="38FE1F7B">
      <w:pPr>
        <w:pStyle w:val="2"/>
        <w:pageBreakBefore w:val="0"/>
        <w:kinsoku/>
        <w:wordWrap/>
        <w:topLinePunct w:val="0"/>
        <w:bidi w:val="0"/>
        <w:snapToGrid w:val="0"/>
        <w:spacing w:before="31" w:line="360" w:lineRule="auto"/>
        <w:ind w:left="0" w:leftChars="0" w:firstLine="0" w:firstLineChars="0"/>
        <w:textAlignment w:val="auto"/>
        <w:outlineLvl w:val="1"/>
        <w:rPr>
          <w:rFonts w:hint="eastAsia" w:ascii="宋体" w:hAnsi="宋体" w:eastAsia="宋体" w:cs="宋体"/>
          <w:color w:val="auto"/>
          <w:sz w:val="24"/>
          <w:szCs w:val="24"/>
          <w:highlight w:val="none"/>
        </w:rPr>
      </w:pPr>
      <w:bookmarkStart w:id="16" w:name="_Toc10566"/>
      <w:bookmarkStart w:id="17" w:name="_Toc25849"/>
      <w:bookmarkStart w:id="18" w:name="_Toc9656"/>
      <w:bookmarkStart w:id="19" w:name="_Toc2329"/>
      <w:r>
        <w:rPr>
          <w:rFonts w:hint="eastAsia" w:ascii="宋体" w:hAnsi="宋体" w:eastAsia="宋体" w:cs="宋体"/>
          <w:color w:val="auto"/>
          <w:sz w:val="24"/>
          <w:szCs w:val="24"/>
          <w:highlight w:val="none"/>
        </w:rPr>
        <w:t>四、</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的递</w:t>
      </w:r>
      <w:r>
        <w:rPr>
          <w:rFonts w:hint="eastAsia" w:ascii="宋体" w:hAnsi="宋体" w:eastAsia="宋体" w:cs="宋体"/>
          <w:color w:val="auto"/>
          <w:sz w:val="24"/>
          <w:szCs w:val="24"/>
          <w:highlight w:val="none"/>
        </w:rPr>
        <w:t>交：</w:t>
      </w:r>
      <w:bookmarkEnd w:id="16"/>
      <w:bookmarkEnd w:id="17"/>
      <w:bookmarkEnd w:id="18"/>
      <w:bookmarkEnd w:id="19"/>
    </w:p>
    <w:p w14:paraId="0824291D">
      <w:pPr>
        <w:pageBreakBefore w:val="0"/>
        <w:kinsoku/>
        <w:wordWrap/>
        <w:topLinePunct w:val="0"/>
        <w:bidi w:val="0"/>
        <w:snapToGrid w:val="0"/>
        <w:spacing w:before="31" w:line="360" w:lineRule="auto"/>
        <w:ind w:firstLine="480" w:firstLineChars="200"/>
        <w:textAlignment w:val="auto"/>
        <w:rPr>
          <w:rFonts w:hint="eastAsia" w:ascii="宋体" w:hAnsi="宋体" w:eastAsia="宋体" w:cs="宋体"/>
          <w:color w:val="auto"/>
          <w:sz w:val="24"/>
          <w:szCs w:val="24"/>
          <w:highlight w:val="none"/>
        </w:rPr>
      </w:pPr>
      <w:bookmarkStart w:id="20" w:name="_Toc24072"/>
      <w:bookmarkStart w:id="21" w:name="_Toc14711"/>
      <w:r>
        <w:rPr>
          <w:rFonts w:hint="eastAsia" w:ascii="宋体" w:hAnsi="宋体" w:eastAsia="宋体" w:cs="宋体"/>
          <w:color w:val="auto"/>
          <w:sz w:val="24"/>
          <w:szCs w:val="24"/>
          <w:highlight w:val="none"/>
        </w:rPr>
        <w:t>1.时间：</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01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分（北京时间）；</w:t>
      </w:r>
      <w:bookmarkEnd w:id="20"/>
      <w:bookmarkEnd w:id="21"/>
    </w:p>
    <w:p w14:paraId="5CA7FE84">
      <w:pPr>
        <w:pageBreakBefore w:val="0"/>
        <w:kinsoku/>
        <w:wordWrap/>
        <w:topLinePunct w:val="0"/>
        <w:bidi w:val="0"/>
        <w:snapToGrid w:val="0"/>
        <w:spacing w:before="31"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2.地点：网上递交：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应当在递交</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文件截止时间前，通过互联网使用CA数字证书登录“舞钢市政府采购/工程建设电子交易系统”，将已加密电子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文件上传，并确定已加密</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文件保存上传成功。逾期未完成上传或未按规定加密的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文件，采购人将拒收。</w:t>
      </w:r>
      <w:bookmarkStart w:id="45" w:name="_GoBack"/>
      <w:bookmarkEnd w:id="45"/>
    </w:p>
    <w:p w14:paraId="2FBD1512">
      <w:pPr>
        <w:pStyle w:val="2"/>
        <w:pageBreakBefore w:val="0"/>
        <w:kinsoku/>
        <w:wordWrap/>
        <w:topLinePunct w:val="0"/>
        <w:bidi w:val="0"/>
        <w:snapToGrid w:val="0"/>
        <w:spacing w:before="31" w:line="360" w:lineRule="auto"/>
        <w:ind w:left="0"/>
        <w:textAlignment w:val="auto"/>
        <w:outlineLvl w:val="1"/>
        <w:rPr>
          <w:rFonts w:hint="eastAsia" w:ascii="宋体" w:hAnsi="宋体" w:eastAsia="宋体" w:cs="宋体"/>
          <w:b w:val="0"/>
          <w:bCs w:val="0"/>
          <w:color w:val="auto"/>
          <w:sz w:val="24"/>
          <w:szCs w:val="24"/>
          <w:highlight w:val="none"/>
        </w:rPr>
      </w:pPr>
      <w:bookmarkStart w:id="22" w:name="_Toc26032"/>
      <w:bookmarkStart w:id="23" w:name="_Toc4241"/>
      <w:bookmarkStart w:id="24" w:name="_Toc17411"/>
      <w:bookmarkStart w:id="25" w:name="_Toc6541"/>
      <w:r>
        <w:rPr>
          <w:rFonts w:hint="eastAsia" w:ascii="宋体" w:hAnsi="宋体" w:eastAsia="宋体" w:cs="宋体"/>
          <w:color w:val="auto"/>
          <w:sz w:val="24"/>
          <w:szCs w:val="24"/>
          <w:highlight w:val="none"/>
        </w:rPr>
        <w:t>五、开标时间及地点</w:t>
      </w:r>
      <w:r>
        <w:rPr>
          <w:rFonts w:hint="eastAsia" w:ascii="宋体" w:hAnsi="宋体" w:eastAsia="宋体" w:cs="宋体"/>
          <w:color w:val="auto"/>
          <w:sz w:val="24"/>
          <w:szCs w:val="24"/>
          <w:highlight w:val="none"/>
          <w:lang w:eastAsia="zh-CN"/>
        </w:rPr>
        <w:t>：</w:t>
      </w:r>
      <w:bookmarkEnd w:id="22"/>
      <w:bookmarkEnd w:id="23"/>
      <w:bookmarkEnd w:id="24"/>
      <w:bookmarkEnd w:id="25"/>
      <w:r>
        <w:rPr>
          <w:rFonts w:hint="eastAsia" w:ascii="宋体" w:hAnsi="宋体" w:eastAsia="宋体" w:cs="宋体"/>
          <w:color w:val="auto"/>
          <w:w w:val="99"/>
          <w:sz w:val="24"/>
          <w:szCs w:val="24"/>
          <w:highlight w:val="none"/>
        </w:rPr>
        <w:t xml:space="preserve"> </w:t>
      </w:r>
    </w:p>
    <w:p w14:paraId="0637F047">
      <w:pPr>
        <w:pStyle w:val="3"/>
        <w:pageBreakBefore w:val="0"/>
        <w:kinsoku/>
        <w:wordWrap/>
        <w:topLinePunct w:val="0"/>
        <w:bidi w:val="0"/>
        <w:snapToGrid w:val="0"/>
        <w:spacing w:before="32" w:line="360" w:lineRule="auto"/>
        <w:ind w:right="196" w:firstLine="480" w:firstLineChars="200"/>
        <w:jc w:val="both"/>
        <w:textAlignment w:val="auto"/>
        <w:outlineLvl w:val="9"/>
        <w:rPr>
          <w:rFonts w:hint="eastAsia" w:ascii="宋体" w:hAnsi="宋体" w:eastAsia="宋体" w:cs="宋体"/>
          <w:color w:val="auto"/>
          <w:sz w:val="24"/>
          <w:szCs w:val="24"/>
          <w:highlight w:val="none"/>
          <w:lang w:val="en-US" w:eastAsia="en-US" w:bidi="ar-SA"/>
        </w:rPr>
      </w:pPr>
      <w:bookmarkStart w:id="26" w:name="_Toc25006"/>
      <w:bookmarkStart w:id="27" w:name="_Toc5755"/>
      <w:r>
        <w:rPr>
          <w:rFonts w:hint="eastAsia" w:ascii="宋体" w:hAnsi="宋体" w:eastAsia="宋体" w:cs="宋体"/>
          <w:color w:val="auto"/>
          <w:sz w:val="24"/>
          <w:szCs w:val="24"/>
          <w:highlight w:val="none"/>
          <w:lang w:val="en-US" w:eastAsia="en-US" w:bidi="ar-SA"/>
        </w:rPr>
        <w:t>1.时间：</w:t>
      </w:r>
      <w:r>
        <w:rPr>
          <w:rFonts w:hint="eastAsia" w:ascii="宋体" w:hAnsi="宋体" w:eastAsia="宋体" w:cs="宋体"/>
          <w:color w:val="auto"/>
          <w:sz w:val="24"/>
          <w:szCs w:val="24"/>
          <w:highlight w:val="none"/>
          <w:lang w:val="en-US" w:eastAsia="zh-CN" w:bidi="ar-SA"/>
        </w:rPr>
        <w:t>2026</w:t>
      </w:r>
      <w:r>
        <w:rPr>
          <w:rFonts w:hint="eastAsia" w:ascii="宋体" w:hAnsi="宋体" w:eastAsia="宋体" w:cs="宋体"/>
          <w:color w:val="auto"/>
          <w:sz w:val="24"/>
          <w:szCs w:val="24"/>
          <w:highlight w:val="none"/>
          <w:lang w:val="en-US" w:eastAsia="en-US" w:bidi="ar-SA"/>
        </w:rPr>
        <w:t>年</w:t>
      </w:r>
      <w:r>
        <w:rPr>
          <w:rFonts w:hint="eastAsia" w:ascii="宋体" w:hAnsi="宋体" w:eastAsia="宋体" w:cs="宋体"/>
          <w:color w:val="auto"/>
          <w:sz w:val="24"/>
          <w:szCs w:val="24"/>
          <w:highlight w:val="none"/>
          <w:lang w:val="en-US" w:eastAsia="zh-CN" w:bidi="ar-SA"/>
        </w:rPr>
        <w:t>09</w:t>
      </w:r>
      <w:r>
        <w:rPr>
          <w:rFonts w:hint="eastAsia" w:ascii="宋体" w:hAnsi="宋体" w:eastAsia="宋体" w:cs="宋体"/>
          <w:color w:val="auto"/>
          <w:sz w:val="24"/>
          <w:szCs w:val="24"/>
          <w:highlight w:val="none"/>
          <w:lang w:val="en-US" w:eastAsia="en-US" w:bidi="ar-SA"/>
        </w:rPr>
        <w:t>月</w:t>
      </w:r>
      <w:r>
        <w:rPr>
          <w:rFonts w:hint="eastAsia" w:ascii="宋体" w:hAnsi="宋体" w:eastAsia="宋体" w:cs="宋体"/>
          <w:color w:val="auto"/>
          <w:sz w:val="24"/>
          <w:szCs w:val="24"/>
          <w:highlight w:val="none"/>
          <w:lang w:val="en-US" w:eastAsia="zh-CN" w:bidi="ar-SA"/>
        </w:rPr>
        <w:t>01</w:t>
      </w:r>
      <w:r>
        <w:rPr>
          <w:rFonts w:hint="eastAsia" w:ascii="宋体" w:hAnsi="宋体" w:eastAsia="宋体" w:cs="宋体"/>
          <w:color w:val="auto"/>
          <w:sz w:val="24"/>
          <w:szCs w:val="24"/>
          <w:highlight w:val="none"/>
          <w:lang w:val="en-US" w:eastAsia="en-US" w:bidi="ar-SA"/>
        </w:rPr>
        <w:t>日</w:t>
      </w:r>
      <w:r>
        <w:rPr>
          <w:rFonts w:hint="eastAsia" w:ascii="宋体" w:hAnsi="宋体" w:eastAsia="宋体" w:cs="宋体"/>
          <w:color w:val="auto"/>
          <w:sz w:val="24"/>
          <w:szCs w:val="24"/>
          <w:highlight w:val="none"/>
          <w:lang w:val="en-US" w:eastAsia="zh-CN" w:bidi="ar-SA"/>
        </w:rPr>
        <w:t>09</w:t>
      </w:r>
      <w:r>
        <w:rPr>
          <w:rFonts w:hint="eastAsia" w:ascii="宋体" w:hAnsi="宋体" w:eastAsia="宋体" w:cs="宋体"/>
          <w:color w:val="auto"/>
          <w:sz w:val="24"/>
          <w:szCs w:val="24"/>
          <w:highlight w:val="none"/>
          <w:lang w:val="en-US" w:eastAsia="en-US" w:bidi="ar-SA"/>
        </w:rPr>
        <w:t>时</w:t>
      </w:r>
      <w:r>
        <w:rPr>
          <w:rFonts w:hint="eastAsia" w:ascii="宋体" w:hAnsi="宋体" w:eastAsia="宋体" w:cs="宋体"/>
          <w:color w:val="auto"/>
          <w:sz w:val="24"/>
          <w:szCs w:val="24"/>
          <w:highlight w:val="none"/>
          <w:lang w:val="en-US" w:eastAsia="zh-CN" w:bidi="ar-SA"/>
        </w:rPr>
        <w:t>00</w:t>
      </w:r>
      <w:r>
        <w:rPr>
          <w:rFonts w:hint="eastAsia" w:ascii="宋体" w:hAnsi="宋体" w:eastAsia="宋体" w:cs="宋体"/>
          <w:color w:val="auto"/>
          <w:sz w:val="24"/>
          <w:szCs w:val="24"/>
          <w:highlight w:val="none"/>
          <w:lang w:val="en-US" w:eastAsia="en-US" w:bidi="ar-SA"/>
        </w:rPr>
        <w:t>分（北京时间）；</w:t>
      </w:r>
      <w:bookmarkEnd w:id="26"/>
      <w:bookmarkEnd w:id="27"/>
    </w:p>
    <w:p w14:paraId="4575B17B">
      <w:pPr>
        <w:pStyle w:val="3"/>
        <w:pageBreakBefore w:val="0"/>
        <w:kinsoku/>
        <w:wordWrap/>
        <w:topLinePunct w:val="0"/>
        <w:bidi w:val="0"/>
        <w:snapToGrid w:val="0"/>
        <w:spacing w:before="32" w:line="360" w:lineRule="auto"/>
        <w:ind w:right="196" w:firstLine="480" w:firstLineChars="200"/>
        <w:jc w:val="both"/>
        <w:textAlignment w:val="auto"/>
        <w:rPr>
          <w:rFonts w:hint="eastAsia"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2.地点：舞钢市公共资源交易中心。实行在线“不见面”开标，</w:t>
      </w:r>
      <w:r>
        <w:rPr>
          <w:rFonts w:hint="eastAsia" w:ascii="宋体" w:hAnsi="宋体" w:eastAsia="宋体" w:cs="宋体"/>
          <w:color w:val="auto"/>
          <w:sz w:val="24"/>
          <w:szCs w:val="24"/>
          <w:highlight w:val="none"/>
          <w:lang w:val="en-US" w:eastAsia="zh-CN" w:bidi="ar-SA"/>
        </w:rPr>
        <w:t>响应</w:t>
      </w:r>
      <w:r>
        <w:rPr>
          <w:rFonts w:hint="eastAsia" w:ascii="宋体" w:hAnsi="宋体" w:eastAsia="宋体" w:cs="宋体"/>
          <w:color w:val="auto"/>
          <w:sz w:val="24"/>
          <w:szCs w:val="24"/>
          <w:highlight w:val="none"/>
          <w:lang w:val="en-US" w:eastAsia="en-US" w:bidi="ar-SA"/>
        </w:rPr>
        <w:t>单位不再到开标现场。</w:t>
      </w:r>
    </w:p>
    <w:p w14:paraId="66535E96">
      <w:pPr>
        <w:pStyle w:val="3"/>
        <w:pageBreakBefore w:val="0"/>
        <w:kinsoku/>
        <w:wordWrap/>
        <w:topLinePunct w:val="0"/>
        <w:bidi w:val="0"/>
        <w:snapToGrid w:val="0"/>
        <w:spacing w:before="32" w:line="360" w:lineRule="auto"/>
        <w:ind w:left="0" w:right="196"/>
        <w:jc w:val="both"/>
        <w:textAlignment w:val="auto"/>
        <w:outlineLvl w:val="1"/>
        <w:rPr>
          <w:rFonts w:hint="eastAsia" w:ascii="宋体" w:hAnsi="宋体" w:eastAsia="宋体" w:cs="宋体"/>
          <w:b/>
          <w:bCs/>
          <w:color w:val="auto"/>
          <w:sz w:val="24"/>
          <w:szCs w:val="24"/>
          <w:highlight w:val="none"/>
          <w:lang w:val="en-US" w:eastAsia="en-US"/>
        </w:rPr>
      </w:pPr>
      <w:bookmarkStart w:id="28" w:name="_Toc6795"/>
      <w:bookmarkStart w:id="29" w:name="_Toc24584"/>
      <w:bookmarkStart w:id="30" w:name="_Toc14119"/>
      <w:bookmarkStart w:id="31" w:name="_Toc23725"/>
      <w:r>
        <w:rPr>
          <w:rFonts w:hint="eastAsia" w:ascii="宋体" w:hAnsi="宋体" w:eastAsia="宋体" w:cs="宋体"/>
          <w:b/>
          <w:bCs/>
          <w:color w:val="auto"/>
          <w:sz w:val="24"/>
          <w:szCs w:val="24"/>
          <w:highlight w:val="none"/>
          <w:lang w:val="en-US" w:eastAsia="en-US"/>
        </w:rPr>
        <w:t>六、发布公告的媒介及公告期限：</w:t>
      </w:r>
      <w:bookmarkEnd w:id="28"/>
      <w:bookmarkEnd w:id="29"/>
      <w:bookmarkEnd w:id="30"/>
      <w:bookmarkEnd w:id="31"/>
    </w:p>
    <w:p w14:paraId="6B6453CC">
      <w:pPr>
        <w:pStyle w:val="3"/>
        <w:pageBreakBefore w:val="0"/>
        <w:kinsoku/>
        <w:wordWrap/>
        <w:topLinePunct w:val="0"/>
        <w:bidi w:val="0"/>
        <w:snapToGrid w:val="0"/>
        <w:spacing w:before="32" w:line="360" w:lineRule="auto"/>
        <w:ind w:right="196"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en-US"/>
        </w:rPr>
        <w:t>本次</w:t>
      </w:r>
      <w:r>
        <w:rPr>
          <w:rFonts w:hint="eastAsia" w:cs="宋体"/>
          <w:color w:val="auto"/>
          <w:sz w:val="24"/>
          <w:szCs w:val="24"/>
          <w:highlight w:val="none"/>
          <w:lang w:val="en-US" w:eastAsia="zh-CN"/>
        </w:rPr>
        <w:t>磋商</w:t>
      </w:r>
      <w:r>
        <w:rPr>
          <w:rFonts w:hint="eastAsia" w:ascii="宋体" w:hAnsi="宋体" w:eastAsia="宋体" w:cs="宋体"/>
          <w:color w:val="auto"/>
          <w:sz w:val="24"/>
          <w:szCs w:val="24"/>
          <w:highlight w:val="none"/>
          <w:lang w:val="en-US" w:eastAsia="en-US"/>
        </w:rPr>
        <w:t>公告在《河南省政府采购网》、《舞钢市政府采购网》、《全国公共资源交易平台（河南省.舞钢市）》上发布。公告期限为</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eastAsia="en-US"/>
        </w:rPr>
        <w:t>个工作</w:t>
      </w:r>
      <w:bookmarkStart w:id="32" w:name="_Toc27281"/>
      <w:bookmarkStart w:id="33" w:name="_Toc19541"/>
      <w:bookmarkStart w:id="34" w:name="_Toc5658"/>
      <w:r>
        <w:rPr>
          <w:rFonts w:hint="eastAsia" w:cs="宋体"/>
          <w:color w:val="auto"/>
          <w:sz w:val="24"/>
          <w:szCs w:val="24"/>
          <w:highlight w:val="none"/>
          <w:lang w:val="en-US" w:eastAsia="zh-CN"/>
        </w:rPr>
        <w:t>日。</w:t>
      </w:r>
    </w:p>
    <w:p w14:paraId="59D3CDB5">
      <w:pPr>
        <w:pStyle w:val="3"/>
        <w:pageBreakBefore w:val="0"/>
        <w:kinsoku/>
        <w:wordWrap/>
        <w:topLinePunct w:val="0"/>
        <w:bidi w:val="0"/>
        <w:snapToGrid w:val="0"/>
        <w:spacing w:before="32" w:line="360" w:lineRule="auto"/>
        <w:ind w:right="196"/>
        <w:jc w:val="both"/>
        <w:textAlignment w:val="auto"/>
        <w:rPr>
          <w:rFonts w:hint="eastAsia" w:ascii="宋体" w:hAnsi="宋体" w:eastAsia="宋体" w:cs="宋体"/>
          <w:b/>
          <w:bCs/>
          <w:color w:val="auto"/>
          <w:w w:val="99"/>
          <w:sz w:val="24"/>
          <w:szCs w:val="24"/>
          <w:highlight w:val="none"/>
          <w:lang w:eastAsia="zh-CN"/>
        </w:rPr>
      </w:pPr>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其他补充事宜</w:t>
      </w:r>
      <w:r>
        <w:rPr>
          <w:rFonts w:hint="eastAsia" w:ascii="宋体" w:hAnsi="宋体" w:eastAsia="宋体" w:cs="宋体"/>
          <w:b/>
          <w:bCs/>
          <w:color w:val="auto"/>
          <w:w w:val="99"/>
          <w:sz w:val="24"/>
          <w:szCs w:val="24"/>
          <w:highlight w:val="none"/>
          <w:lang w:eastAsia="zh-CN"/>
        </w:rPr>
        <w:t>：</w:t>
      </w:r>
      <w:bookmarkEnd w:id="32"/>
      <w:bookmarkEnd w:id="33"/>
      <w:bookmarkEnd w:id="34"/>
    </w:p>
    <w:p w14:paraId="48EEF481">
      <w:pPr>
        <w:pStyle w:val="4"/>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1"/>
        <w:rPr>
          <w:rFonts w:hint="eastAsia" w:ascii="宋体" w:hAnsi="宋体" w:eastAsia="宋体" w:cs="宋体"/>
          <w:color w:val="auto"/>
          <w:sz w:val="24"/>
          <w:szCs w:val="24"/>
          <w:highlight w:val="none"/>
          <w:lang w:val="en-US" w:eastAsia="en-US" w:bidi="ar-SA"/>
        </w:rPr>
      </w:pPr>
      <w:bookmarkStart w:id="35" w:name="_Toc18704"/>
      <w:bookmarkStart w:id="36" w:name="_Toc21676"/>
      <w:bookmarkStart w:id="37" w:name="_Toc1115"/>
      <w:bookmarkStart w:id="38" w:name="_Toc29607"/>
      <w:r>
        <w:rPr>
          <w:rFonts w:hint="eastAsia" w:ascii="宋体" w:hAnsi="宋体" w:eastAsia="宋体" w:cs="宋体"/>
          <w:color w:val="auto"/>
          <w:sz w:val="24"/>
          <w:szCs w:val="24"/>
          <w:highlight w:val="none"/>
          <w:lang w:val="en-US" w:eastAsia="en-US" w:bidi="ar-SA"/>
        </w:rPr>
        <w:t>1．供应商或其他利害关系人对本次公告如有异议，请按中华人民共和国财政部令第94号《政府采购质疑和投诉办法》的相关规定，在规定时间内，向采购人、采购代理机构、监督部门提出书面质疑、投诉等事宜。逾期未提交或未按照要求提交的质疑、投诉将不予受理。</w:t>
      </w:r>
    </w:p>
    <w:p w14:paraId="5000F5AF">
      <w:pPr>
        <w:pStyle w:val="4"/>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1"/>
        <w:rPr>
          <w:rFonts w:hint="eastAsia" w:ascii="宋体" w:hAnsi="宋体" w:eastAsia="宋体" w:cs="宋体"/>
          <w:b w:val="0"/>
          <w:bCs w:val="0"/>
          <w:color w:val="auto"/>
          <w:sz w:val="24"/>
          <w:szCs w:val="24"/>
          <w:highlight w:val="none"/>
          <w:lang w:val="en-US" w:eastAsia="en-US"/>
        </w:rPr>
      </w:pPr>
      <w:r>
        <w:rPr>
          <w:rFonts w:hint="eastAsia" w:ascii="宋体" w:hAnsi="宋体" w:eastAsia="宋体" w:cs="宋体"/>
          <w:color w:val="auto"/>
          <w:sz w:val="24"/>
          <w:szCs w:val="24"/>
          <w:highlight w:val="none"/>
          <w:lang w:val="en-US" w:eastAsia="en-US" w:bidi="ar-SA"/>
        </w:rPr>
        <w:t>2．监督部门：舞钢市财政局  </w:t>
      </w:r>
      <w:r>
        <w:rPr>
          <w:rFonts w:hint="eastAsia" w:ascii="宋体" w:hAnsi="宋体" w:eastAsia="宋体" w:cs="宋体"/>
          <w:b w:val="0"/>
          <w:bCs w:val="0"/>
          <w:color w:val="auto"/>
          <w:sz w:val="24"/>
          <w:szCs w:val="24"/>
          <w:highlight w:val="none"/>
          <w:lang w:val="en-US" w:eastAsia="en-US"/>
        </w:rPr>
        <w:t>    联系电话：0375-7063079</w:t>
      </w:r>
    </w:p>
    <w:p w14:paraId="76AAAE39">
      <w:pPr>
        <w:pStyle w:val="4"/>
        <w:pageBreakBefore w:val="0"/>
        <w:kinsoku/>
        <w:wordWrap/>
        <w:topLinePunct w:val="0"/>
        <w:bidi w:val="0"/>
        <w:snapToGrid w:val="0"/>
        <w:spacing w:line="360" w:lineRule="auto"/>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en-US"/>
        </w:rPr>
        <w:t>八、凡对本次招标提出询问，请按照以下</w:t>
      </w:r>
      <w:r>
        <w:rPr>
          <w:rFonts w:hint="eastAsia" w:ascii="宋体" w:hAnsi="宋体" w:eastAsia="宋体" w:cs="宋体"/>
          <w:b/>
          <w:bCs/>
          <w:color w:val="auto"/>
          <w:sz w:val="24"/>
          <w:szCs w:val="24"/>
          <w:highlight w:val="none"/>
          <w:lang w:val="en-US" w:eastAsia="zh-CN"/>
        </w:rPr>
        <w:t>联系方式</w:t>
      </w:r>
      <w:bookmarkEnd w:id="35"/>
      <w:bookmarkEnd w:id="36"/>
      <w:bookmarkEnd w:id="37"/>
      <w:bookmarkEnd w:id="38"/>
    </w:p>
    <w:p w14:paraId="323BA719">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bookmarkStart w:id="39" w:name="_Toc26345"/>
      <w:r>
        <w:rPr>
          <w:rFonts w:hint="eastAsia" w:ascii="宋体" w:hAnsi="宋体" w:eastAsia="宋体" w:cs="宋体"/>
          <w:color w:val="auto"/>
          <w:sz w:val="24"/>
          <w:szCs w:val="24"/>
          <w:highlight w:val="none"/>
          <w:lang w:eastAsia="zh-CN"/>
        </w:rPr>
        <w:t>1.采购人信息</w:t>
      </w:r>
      <w:bookmarkEnd w:id="39"/>
      <w:r>
        <w:rPr>
          <w:rFonts w:hint="eastAsia" w:ascii="宋体" w:hAnsi="宋体" w:eastAsia="宋体" w:cs="宋体"/>
          <w:color w:val="auto"/>
          <w:sz w:val="24"/>
          <w:szCs w:val="24"/>
          <w:highlight w:val="none"/>
          <w:lang w:eastAsia="zh-CN"/>
        </w:rPr>
        <w:t xml:space="preserve"> </w:t>
      </w:r>
    </w:p>
    <w:p w14:paraId="6A15B79E">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名称：舞钢市水利局</w:t>
      </w:r>
    </w:p>
    <w:p w14:paraId="79CB63C3">
      <w:pPr>
        <w:pageBreakBefore w:val="0"/>
        <w:kinsoku/>
        <w:wordWrap/>
        <w:topLinePunct w:val="0"/>
        <w:bidi w:val="0"/>
        <w:snapToGrid w:val="0"/>
        <w:spacing w:before="4"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地址：舞钢市金融大厦南楼6楼</w:t>
      </w:r>
    </w:p>
    <w:p w14:paraId="7B102F64">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联系人：张女士</w:t>
      </w:r>
    </w:p>
    <w:p w14:paraId="447573F4">
      <w:pPr>
        <w:pageBreakBefore w:val="0"/>
        <w:kinsoku/>
        <w:wordWrap/>
        <w:topLinePunct w:val="0"/>
        <w:bidi w:val="0"/>
        <w:snapToGrid w:val="0"/>
        <w:spacing w:before="4"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联系方式：13837590058</w:t>
      </w:r>
    </w:p>
    <w:p w14:paraId="19B692D8">
      <w:pPr>
        <w:pageBreakBefore w:val="0"/>
        <w:kinsoku/>
        <w:wordWrap/>
        <w:topLinePunct w:val="0"/>
        <w:bidi w:val="0"/>
        <w:snapToGrid w:val="0"/>
        <w:spacing w:before="4" w:line="360"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名称：河南省上和管理咨询有限公司</w:t>
      </w:r>
    </w:p>
    <w:p w14:paraId="40514B29">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地址：郑州市郑东新区龙湖外环路与东风渠交汇处郑辰商业广场</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层</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08号 </w:t>
      </w:r>
    </w:p>
    <w:p w14:paraId="1672EC45">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eastAsia="宋体" w:cs="宋体"/>
          <w:color w:val="auto"/>
          <w:sz w:val="24"/>
          <w:szCs w:val="24"/>
          <w:highlight w:val="none"/>
          <w:lang w:val="en-US" w:eastAsia="zh-CN"/>
        </w:rPr>
        <w:t>张女士</w:t>
      </w:r>
    </w:p>
    <w:p w14:paraId="393B745B">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w:t>
      </w:r>
      <w:bookmarkStart w:id="40" w:name="_Toc24708"/>
      <w:r>
        <w:rPr>
          <w:rFonts w:hint="eastAsia" w:ascii="宋体" w:hAnsi="宋体" w:eastAsia="宋体" w:cs="宋体"/>
          <w:color w:val="auto"/>
          <w:sz w:val="24"/>
          <w:szCs w:val="24"/>
          <w:highlight w:val="none"/>
          <w:lang w:val="en-US" w:eastAsia="zh-CN"/>
        </w:rPr>
        <w:t>0371-61555288</w:t>
      </w:r>
    </w:p>
    <w:p w14:paraId="6016598F">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项目联系方式</w:t>
      </w:r>
      <w:bookmarkEnd w:id="40"/>
    </w:p>
    <w:p w14:paraId="41523B28">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项目联系人：</w:t>
      </w:r>
      <w:r>
        <w:rPr>
          <w:rFonts w:hint="eastAsia" w:ascii="宋体" w:hAnsi="宋体" w:eastAsia="宋体" w:cs="宋体"/>
          <w:color w:val="auto"/>
          <w:sz w:val="24"/>
          <w:szCs w:val="24"/>
          <w:highlight w:val="none"/>
          <w:lang w:val="en-US" w:eastAsia="zh-CN"/>
        </w:rPr>
        <w:t>张女士</w:t>
      </w:r>
      <w:r>
        <w:rPr>
          <w:rFonts w:hint="eastAsia" w:ascii="宋体" w:hAnsi="宋体" w:eastAsia="宋体" w:cs="宋体"/>
          <w:color w:val="auto"/>
          <w:sz w:val="24"/>
          <w:szCs w:val="24"/>
          <w:highlight w:val="none"/>
          <w:lang w:eastAsia="zh-CN"/>
        </w:rPr>
        <w:t xml:space="preserve"> </w:t>
      </w:r>
    </w:p>
    <w:p w14:paraId="4E3AAF53">
      <w:pPr>
        <w:pageBreakBefore w:val="0"/>
        <w:kinsoku/>
        <w:wordWrap/>
        <w:topLinePunct w:val="0"/>
        <w:bidi w:val="0"/>
        <w:snapToGrid w:val="0"/>
        <w:spacing w:before="4"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w:t>
      </w:r>
      <w:r>
        <w:rPr>
          <w:rFonts w:hint="eastAsia" w:ascii="宋体" w:hAnsi="宋体" w:eastAsia="宋体" w:cs="宋体"/>
          <w:color w:val="auto"/>
          <w:sz w:val="24"/>
          <w:szCs w:val="24"/>
          <w:highlight w:val="none"/>
          <w:lang w:val="en-US" w:eastAsia="zh-CN"/>
        </w:rPr>
        <w:t>0371-61555288</w:t>
      </w:r>
    </w:p>
    <w:p w14:paraId="3E3AF1F9">
      <w:pPr>
        <w:pageBreakBefore w:val="0"/>
        <w:kinsoku/>
        <w:wordWrap/>
        <w:topLinePunct w:val="0"/>
        <w:bidi w:val="0"/>
        <w:snapToGrid w:val="0"/>
        <w:spacing w:before="4" w:line="360" w:lineRule="auto"/>
        <w:jc w:val="right"/>
        <w:textAlignment w:val="auto"/>
        <w:rPr>
          <w:rFonts w:hint="eastAsia" w:ascii="宋体" w:hAnsi="宋体" w:eastAsia="宋体" w:cs="宋体"/>
          <w:color w:val="auto"/>
          <w:sz w:val="24"/>
          <w:szCs w:val="24"/>
          <w:highlight w:val="none"/>
          <w:lang w:eastAsia="zh-CN"/>
        </w:rPr>
      </w:pPr>
    </w:p>
    <w:p w14:paraId="625B9532">
      <w:pPr>
        <w:pageBreakBefore w:val="0"/>
        <w:kinsoku/>
        <w:wordWrap/>
        <w:topLinePunct w:val="0"/>
        <w:bidi w:val="0"/>
        <w:snapToGrid w:val="0"/>
        <w:spacing w:line="360" w:lineRule="auto"/>
        <w:textAlignment w:val="auto"/>
        <w:rPr>
          <w:rFonts w:hint="eastAsia" w:ascii="宋体" w:hAnsi="宋体" w:eastAsia="宋体" w:cs="宋体"/>
          <w:color w:val="auto"/>
          <w:highlight w:val="none"/>
        </w:rPr>
      </w:pPr>
    </w:p>
    <w:p w14:paraId="0CC60C06">
      <w:pPr>
        <w:pageBreakBefore w:val="0"/>
        <w:kinsoku/>
        <w:wordWrap/>
        <w:topLinePunct w:val="0"/>
        <w:bidi w:val="0"/>
        <w:snapToGrid w:val="0"/>
        <w:spacing w:before="4" w:line="360" w:lineRule="auto"/>
        <w:jc w:val="righ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lang w:eastAsia="zh-CN"/>
        </w:rPr>
        <w:t>日</w:t>
      </w:r>
    </w:p>
    <w:p w14:paraId="55EC6B6B">
      <w:pPr>
        <w:pageBreakBefore w:val="0"/>
        <w:kinsoku/>
        <w:wordWrap/>
        <w:topLinePunct w:val="0"/>
        <w:bidi w:val="0"/>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color w:val="auto"/>
          <w:sz w:val="24"/>
          <w:highlight w:val="none"/>
        </w:rPr>
        <w:t xml:space="preserve"> </w:t>
      </w:r>
      <w:r>
        <w:rPr>
          <w:rFonts w:hint="eastAsia" w:ascii="宋体" w:hAnsi="宋体" w:eastAsia="宋体" w:cs="宋体"/>
          <w:b/>
          <w:bCs/>
          <w:color w:val="auto"/>
          <w:sz w:val="32"/>
          <w:szCs w:val="32"/>
          <w:highlight w:val="none"/>
        </w:rPr>
        <w:t>温馨提示</w:t>
      </w:r>
    </w:p>
    <w:p w14:paraId="1BF1FD85">
      <w:pPr>
        <w:pageBreakBefore w:val="0"/>
        <w:kinsoku/>
        <w:wordWrap/>
        <w:topLinePunct w:val="0"/>
        <w:bidi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本项目为全流程电子化交易项目，请认真阅读招标文件，并注意以下事项。</w:t>
      </w:r>
    </w:p>
    <w:p w14:paraId="4F66F81E">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文件规定编制、提交电子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p>
    <w:p w14:paraId="302549E6">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不用再提供纸质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p>
    <w:p w14:paraId="5C99FD3B">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3.电子文件制作和开标（电子投标文件的解密）环节，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须使用CA数字证书（证书须在有效期内）。</w:t>
      </w:r>
    </w:p>
    <w:p w14:paraId="2D905AF1">
      <w:pPr>
        <w:pageBreakBefore w:val="0"/>
        <w:kinsoku/>
        <w:wordWrap/>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bookmarkStart w:id="41" w:name="_Toc4632"/>
      <w:bookmarkStart w:id="42" w:name="_Toc6086"/>
      <w:r>
        <w:rPr>
          <w:rFonts w:hint="eastAsia" w:ascii="宋体" w:hAnsi="宋体" w:eastAsia="宋体" w:cs="宋体"/>
          <w:color w:val="auto"/>
          <w:sz w:val="24"/>
          <w:szCs w:val="24"/>
          <w:highlight w:val="none"/>
        </w:rPr>
        <w:t>4.电子投标文件的制作</w:t>
      </w:r>
      <w:bookmarkEnd w:id="41"/>
      <w:bookmarkEnd w:id="42"/>
    </w:p>
    <w:p w14:paraId="5CA04F17">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登录《全国公共资源交易平台(河南省·舞钢市)》下载“</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工具箱”，按招标文件要求制作电子投标文件。</w:t>
      </w:r>
    </w:p>
    <w:p w14:paraId="7B92D61B">
      <w:pPr>
        <w:pageBreakBefore w:val="0"/>
        <w:kinsoku/>
        <w:wordWrap/>
        <w:topLinePunct w:val="0"/>
        <w:bidi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电子投标文件的制作，参考《全国公共资源交易平台(河南省·舞钢市)》——办事服务——系统操作指南。</w:t>
      </w:r>
    </w:p>
    <w:p w14:paraId="58CE9604">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须将 招标文件要求的资质、业绩、荣誉及相关人员证明材料等资料原件扫描件（或图片）制作到所提交的电子投标文件中。</w:t>
      </w:r>
    </w:p>
    <w:p w14:paraId="71662FC4">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对同一项目多个标段进行投标的，应分别下载所投标段的招标文件，按标段制作电子投标文件，并按招标文件要求在相应位置加盖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电子印章和法人电子印章。</w:t>
      </w:r>
    </w:p>
    <w:p w14:paraId="24B745AB">
      <w:pPr>
        <w:pageBreakBefore w:val="0"/>
        <w:kinsoku/>
        <w:wordWrap/>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bookmarkStart w:id="43" w:name="_Toc18069"/>
      <w:bookmarkStart w:id="44" w:name="_Toc1663"/>
      <w:r>
        <w:rPr>
          <w:rFonts w:hint="eastAsia" w:ascii="宋体" w:hAnsi="宋体" w:eastAsia="宋体" w:cs="宋体"/>
          <w:color w:val="auto"/>
          <w:sz w:val="24"/>
          <w:szCs w:val="24"/>
          <w:highlight w:val="none"/>
        </w:rPr>
        <w:t>5.加密电子投标文件的提交</w:t>
      </w:r>
      <w:bookmarkEnd w:id="43"/>
      <w:bookmarkEnd w:id="44"/>
    </w:p>
    <w:p w14:paraId="5F9F85AD">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5.1加密电子投标文件应在招标文件规定的投标截止时间（开标时间）之前成功提交至《舞钢市政府采购 / 工程建设电子交易系统》。</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应充分考虑并预留技术处理和上传数据所需时间。</w:t>
      </w:r>
    </w:p>
    <w:p w14:paraId="497F0EDD">
      <w:pPr>
        <w:pageBreakBefore w:val="0"/>
        <w:kinsoku/>
        <w:wordWrap/>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对同一项目多个标段进行投标的，加密电子投标文件应按标段分别提交。</w:t>
      </w:r>
    </w:p>
    <w:p w14:paraId="2056318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17565"/>
    <w:rsid w:val="2A353D77"/>
    <w:rsid w:val="3DBB238D"/>
    <w:rsid w:val="55B177E9"/>
    <w:rsid w:val="5B4D0671"/>
    <w:rsid w:val="625E2CFC"/>
    <w:rsid w:val="78F17565"/>
    <w:rsid w:val="7A590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Calibri" w:hAnsi="Calibri" w:eastAsia="Calibri" w:cs="Times New Roman"/>
      <w:sz w:val="22"/>
      <w:szCs w:val="22"/>
      <w:lang w:val="en-US" w:eastAsia="en-US" w:bidi="ar-SA"/>
    </w:rPr>
  </w:style>
  <w:style w:type="paragraph" w:styleId="2">
    <w:name w:val="heading 2"/>
    <w:basedOn w:val="1"/>
    <w:next w:val="1"/>
    <w:qFormat/>
    <w:uiPriority w:val="1"/>
    <w:pPr>
      <w:ind w:left="617"/>
      <w:outlineLvl w:val="1"/>
    </w:pPr>
    <w:rPr>
      <w:rFonts w:ascii="宋体" w:hAnsi="宋体" w:eastAsia="宋体"/>
      <w:b/>
      <w:bCs/>
      <w:sz w:val="36"/>
      <w:szCs w:val="36"/>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1"/>
    <w:pPr>
      <w:spacing w:before="133"/>
      <w:ind w:left="102"/>
    </w:pPr>
    <w:rPr>
      <w:rFonts w:ascii="宋体" w:hAnsi="宋体" w:eastAsia="宋体"/>
      <w:sz w:val="21"/>
      <w:szCs w:val="21"/>
    </w:rPr>
  </w:style>
  <w:style w:type="paragraph" w:styleId="4">
    <w:name w:val="Body Text 2"/>
    <w:basedOn w:val="1"/>
    <w:next w:val="1"/>
    <w:qFormat/>
    <w:uiPriority w:val="0"/>
    <w:pPr>
      <w:spacing w:line="480" w:lineRule="auto"/>
    </w:pPr>
    <w:rPr>
      <w:rFonts w:eastAsia="宋体"/>
      <w:sz w:val="20"/>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2814</Words>
  <Characters>3119</Characters>
  <Lines>0</Lines>
  <Paragraphs>0</Paragraphs>
  <TotalTime>115</TotalTime>
  <ScaleCrop>false</ScaleCrop>
  <LinksUpToDate>false</LinksUpToDate>
  <CharactersWithSpaces>3147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2026-08-19T03:18:00Z</dcterms:created>
  <dc:creator>瑁泡</dc:creator>
  <cp:lastModifiedBy>瑁泡</cp:lastModifiedBy>
  <dcterms:modified xsi:type="dcterms:W3CDTF">2026-08-19T06:49:37Z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8DEC650CB3AB4D2D896ADD0F98F66E68_11</vt:lpwstr>
  </property>
  <property fmtid="{D5CDD505-2E9C-101B-9397-08002B2CF9AE}" pid="4" name="KSOTemplateDocerSaveRecord">
    <vt:lpwstr>eyJoZGlkIjoiMzYxNzMzNTMwMmQ2YzI1MjVjMTVhNDA1MDJhYmM3MjgiLCJ1c2VySWQiOiIzNjU4MDM0NTMifQ==</vt:lpwstr>
  </property>
</Properties>
</file>