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4BF89">
      <w:pPr>
        <w:spacing w:before="312" w:after="312" w:line="600" w:lineRule="auto"/>
        <w:jc w:val="center"/>
        <w:rPr>
          <w:rFonts w:hint="eastAsia" w:ascii="宋体" w:hAnsi="宋体" w:eastAsia="宋体"/>
          <w:b/>
          <w:color w:val="000000" w:themeColor="text1"/>
          <w:sz w:val="48"/>
          <w:szCs w:val="48"/>
          <w:highlight w:val="none"/>
          <w:lang w:eastAsia="zh-CN"/>
          <w14:textFill>
            <w14:solidFill>
              <w14:schemeClr w14:val="tx1"/>
            </w14:solidFill>
          </w14:textFill>
        </w:rPr>
      </w:pPr>
      <w:r>
        <w:rPr>
          <w:rFonts w:hint="eastAsia" w:ascii="宋体" w:hAnsi="宋体" w:eastAsia="宋体"/>
          <w:b/>
          <w:color w:val="000000" w:themeColor="text1"/>
          <w:sz w:val="48"/>
          <w:szCs w:val="48"/>
          <w:highlight w:val="none"/>
          <w:lang w:eastAsia="zh-CN"/>
          <w14:textFill>
            <w14:solidFill>
              <w14:schemeClr w14:val="tx1"/>
            </w14:solidFill>
          </w14:textFill>
        </w:rPr>
        <w:drawing>
          <wp:anchor distT="0" distB="0" distL="114300" distR="114300" simplePos="0" relativeHeight="251669504" behindDoc="0" locked="0" layoutInCell="1" allowOverlap="1">
            <wp:simplePos x="0" y="0"/>
            <wp:positionH relativeFrom="column">
              <wp:posOffset>-2463165</wp:posOffset>
            </wp:positionH>
            <wp:positionV relativeFrom="paragraph">
              <wp:posOffset>699770</wp:posOffset>
            </wp:positionV>
            <wp:extent cx="10624185" cy="7465695"/>
            <wp:effectExtent l="0" t="0" r="1905" b="5715"/>
            <wp:wrapNone/>
            <wp:docPr id="2" name="图片 2" descr="文件封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文件封面 (1)"/>
                    <pic:cNvPicPr>
                      <a:picLocks noChangeAspect="1"/>
                    </pic:cNvPicPr>
                  </pic:nvPicPr>
                  <pic:blipFill>
                    <a:blip r:embed="rId9"/>
                    <a:stretch>
                      <a:fillRect/>
                    </a:stretch>
                  </pic:blipFill>
                  <pic:spPr>
                    <a:xfrm rot="16200000">
                      <a:off x="0" y="0"/>
                      <a:ext cx="10624185" cy="7465695"/>
                    </a:xfrm>
                    <a:prstGeom prst="rect">
                      <a:avLst/>
                    </a:prstGeom>
                  </pic:spPr>
                </pic:pic>
              </a:graphicData>
            </a:graphic>
          </wp:anchor>
        </w:drawing>
      </w:r>
      <w:r>
        <w:rPr>
          <w:rFonts w:hint="eastAsia" w:ascii="宋体" w:hAnsi="宋体"/>
          <w:b/>
          <w:color w:val="000000" w:themeColor="text1"/>
          <w:sz w:val="48"/>
          <w:szCs w:val="48"/>
          <w:highlight w:val="none"/>
          <w:lang w:eastAsia="zh-CN"/>
          <w14:textFill>
            <w14:solidFill>
              <w14:schemeClr w14:val="tx1"/>
            </w14:solidFill>
          </w14:textFill>
        </w:rPr>
        <w:t>平顶山市工业学校新媒体营销实训系统及实训室建设项目</w:t>
      </w:r>
    </w:p>
    <w:p w14:paraId="307309C8">
      <w:pPr>
        <w:pStyle w:val="107"/>
        <w:ind w:firstLine="0"/>
        <w:rPr>
          <w:rFonts w:hint="eastAsia" w:ascii="宋体" w:hAnsi="宋体"/>
          <w:color w:val="000000" w:themeColor="text1"/>
          <w:highlight w:val="none"/>
          <w:lang w:val="zh-CN"/>
          <w14:textFill>
            <w14:solidFill>
              <w14:schemeClr w14:val="tx1"/>
            </w14:solidFill>
          </w14:textFill>
        </w:rPr>
      </w:pPr>
    </w:p>
    <w:p w14:paraId="14938CB8">
      <w:pPr>
        <w:pStyle w:val="107"/>
        <w:ind w:firstLine="0"/>
        <w:rPr>
          <w:rFonts w:hint="eastAsia" w:ascii="宋体" w:hAnsi="宋体"/>
          <w:color w:val="000000" w:themeColor="text1"/>
          <w:highlight w:val="none"/>
          <w:lang w:val="zh-CN"/>
          <w14:textFill>
            <w14:solidFill>
              <w14:schemeClr w14:val="tx1"/>
            </w14:solidFill>
          </w14:textFill>
        </w:rPr>
      </w:pPr>
    </w:p>
    <w:p w14:paraId="19B5DF5F">
      <w:pPr>
        <w:spacing w:before="312" w:after="312" w:line="360" w:lineRule="auto"/>
        <w:jc w:val="center"/>
        <w:rPr>
          <w:rFonts w:hint="eastAsia" w:ascii="宋体" w:hAnsi="宋体"/>
          <w:b/>
          <w:color w:val="000000" w:themeColor="text1"/>
          <w:sz w:val="70"/>
          <w:szCs w:val="52"/>
          <w:highlight w:val="none"/>
          <w14:textFill>
            <w14:solidFill>
              <w14:schemeClr w14:val="tx1"/>
            </w14:solidFill>
          </w14:textFill>
        </w:rPr>
      </w:pPr>
      <w:r>
        <w:rPr>
          <w:rFonts w:hint="eastAsia" w:ascii="宋体" w:hAnsi="宋体"/>
          <w:b/>
          <w:color w:val="000000" w:themeColor="text1"/>
          <w:sz w:val="70"/>
          <w:szCs w:val="52"/>
          <w:highlight w:val="none"/>
          <w14:textFill>
            <w14:solidFill>
              <w14:schemeClr w14:val="tx1"/>
            </w14:solidFill>
          </w14:textFill>
        </w:rPr>
        <w:t>招 标 文 件</w:t>
      </w:r>
    </w:p>
    <w:p w14:paraId="66A5AE05">
      <w:pPr>
        <w:spacing w:line="420" w:lineRule="exact"/>
        <w:jc w:val="center"/>
        <w:rPr>
          <w:rFonts w:hint="eastAsia" w:ascii="宋体" w:hAnsi="宋体"/>
          <w:color w:val="000000" w:themeColor="text1"/>
          <w:kern w:val="0"/>
          <w:sz w:val="24"/>
          <w:szCs w:val="24"/>
          <w:highlight w:val="none"/>
          <w14:textFill>
            <w14:solidFill>
              <w14:schemeClr w14:val="tx1"/>
            </w14:solidFill>
          </w14:textFill>
        </w:rPr>
      </w:pPr>
    </w:p>
    <w:p w14:paraId="19A70EF4">
      <w:pPr>
        <w:spacing w:line="420" w:lineRule="exact"/>
        <w:jc w:val="center"/>
        <w:rPr>
          <w:rFonts w:hint="eastAsia" w:ascii="宋体" w:hAnsi="宋体"/>
          <w:color w:val="000000" w:themeColor="text1"/>
          <w:kern w:val="0"/>
          <w:sz w:val="24"/>
          <w:szCs w:val="24"/>
          <w:highlight w:val="none"/>
          <w14:textFill>
            <w14:solidFill>
              <w14:schemeClr w14:val="tx1"/>
            </w14:solidFill>
          </w14:textFill>
        </w:rPr>
      </w:pPr>
    </w:p>
    <w:p w14:paraId="75F419E6">
      <w:pPr>
        <w:spacing w:line="420" w:lineRule="exact"/>
        <w:jc w:val="center"/>
        <w:rPr>
          <w:rFonts w:hint="eastAsia" w:ascii="宋体" w:hAnsi="宋体"/>
          <w:color w:val="000000" w:themeColor="text1"/>
          <w:kern w:val="0"/>
          <w:sz w:val="24"/>
          <w:szCs w:val="24"/>
          <w:highlight w:val="none"/>
          <w14:textFill>
            <w14:solidFill>
              <w14:schemeClr w14:val="tx1"/>
            </w14:solidFill>
          </w14:textFill>
        </w:rPr>
      </w:pPr>
    </w:p>
    <w:p w14:paraId="2E148ACA">
      <w:pPr>
        <w:pStyle w:val="55"/>
        <w:rPr>
          <w:rFonts w:hint="eastAsia" w:ascii="宋体" w:hAnsi="宋体"/>
          <w:color w:val="000000" w:themeColor="text1"/>
          <w:highlight w:val="none"/>
          <w14:textFill>
            <w14:solidFill>
              <w14:schemeClr w14:val="tx1"/>
            </w14:solidFill>
          </w14:textFill>
        </w:rPr>
      </w:pPr>
      <w:r>
        <w:rPr>
          <w:rStyle w:val="28"/>
          <w:rFonts w:cs="宋体"/>
          <w:color w:val="000000" w:themeColor="text1"/>
          <w:kern w:val="0"/>
          <w:highlight w:val="none"/>
          <w:u w:val="single" w:color="02396F"/>
          <w14:textFill>
            <w14:solidFill>
              <w14:schemeClr w14:val="tx1"/>
            </w14:solidFill>
          </w14:textFill>
        </w:rPr>
        <w:drawing>
          <wp:anchor distT="0" distB="0" distL="114300" distR="114300" simplePos="0" relativeHeight="251668480" behindDoc="0" locked="0" layoutInCell="1" allowOverlap="1">
            <wp:simplePos x="0" y="0"/>
            <wp:positionH relativeFrom="column">
              <wp:posOffset>2016760</wp:posOffset>
            </wp:positionH>
            <wp:positionV relativeFrom="paragraph">
              <wp:posOffset>14605</wp:posOffset>
            </wp:positionV>
            <wp:extent cx="1585595" cy="1564640"/>
            <wp:effectExtent l="0" t="0" r="0" b="0"/>
            <wp:wrapNone/>
            <wp:docPr id="10" name="图片 2" descr="32c9e21b2a854ca6e17c352b673db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32c9e21b2a854ca6e17c352b673db87"/>
                    <pic:cNvPicPr>
                      <a:picLocks noChangeAspect="1" noChangeArrowheads="1"/>
                    </pic:cNvPicPr>
                  </pic:nvPicPr>
                  <pic:blipFill>
                    <a:blip r:embed="rId10">
                      <a:extLst>
                        <a:ext uri="{28A0092B-C50C-407E-A947-70E740481C1C}">
                          <a14:useLocalDpi xmlns:a14="http://schemas.microsoft.com/office/drawing/2010/main" val="0"/>
                        </a:ext>
                      </a:extLst>
                    </a:blip>
                    <a:srcRect l="11693" t="5115" r="5598" b="7353"/>
                    <a:stretch>
                      <a:fillRect/>
                    </a:stretch>
                  </pic:blipFill>
                  <pic:spPr>
                    <a:xfrm>
                      <a:off x="0" y="0"/>
                      <a:ext cx="1585595" cy="1564640"/>
                    </a:xfrm>
                    <a:prstGeom prst="rect">
                      <a:avLst/>
                    </a:prstGeom>
                    <a:noFill/>
                    <a:ln>
                      <a:noFill/>
                    </a:ln>
                  </pic:spPr>
                </pic:pic>
              </a:graphicData>
            </a:graphic>
          </wp:anchor>
        </w:drawing>
      </w:r>
    </w:p>
    <w:p w14:paraId="3FB59D06">
      <w:pPr>
        <w:autoSpaceDE w:val="0"/>
        <w:autoSpaceDN w:val="0"/>
        <w:jc w:val="center"/>
        <w:rPr>
          <w:rFonts w:hint="eastAsia" w:ascii="宋体" w:hAnsi="宋体"/>
          <w:color w:val="000000" w:themeColor="text1"/>
          <w:kern w:val="0"/>
          <w:sz w:val="28"/>
          <w:szCs w:val="28"/>
          <w:highlight w:val="none"/>
          <w14:textFill>
            <w14:solidFill>
              <w14:schemeClr w14:val="tx1"/>
            </w14:solidFill>
          </w14:textFill>
        </w:rPr>
      </w:pPr>
    </w:p>
    <w:p w14:paraId="48ED5F11">
      <w:pPr>
        <w:pStyle w:val="55"/>
        <w:ind w:firstLine="0"/>
        <w:rPr>
          <w:rFonts w:hint="eastAsia" w:ascii="宋体" w:hAnsi="宋体"/>
          <w:color w:val="000000" w:themeColor="text1"/>
          <w:highlight w:val="none"/>
          <w14:textFill>
            <w14:solidFill>
              <w14:schemeClr w14:val="tx1"/>
            </w14:solidFill>
          </w14:textFill>
        </w:rPr>
      </w:pPr>
    </w:p>
    <w:p w14:paraId="6488534A">
      <w:pPr>
        <w:autoSpaceDE w:val="0"/>
        <w:autoSpaceDN w:val="0"/>
        <w:jc w:val="left"/>
        <w:rPr>
          <w:rFonts w:hint="eastAsia" w:ascii="宋体" w:hAnsi="宋体"/>
          <w:color w:val="000000" w:themeColor="text1"/>
          <w:kern w:val="0"/>
          <w:sz w:val="28"/>
          <w:szCs w:val="28"/>
          <w:highlight w:val="none"/>
          <w14:textFill>
            <w14:solidFill>
              <w14:schemeClr w14:val="tx1"/>
            </w14:solidFill>
          </w14:textFill>
        </w:rPr>
      </w:pPr>
    </w:p>
    <w:p w14:paraId="3D9A7657">
      <w:pPr>
        <w:autoSpaceDE w:val="0"/>
        <w:autoSpaceDN w:val="0"/>
        <w:jc w:val="left"/>
        <w:rPr>
          <w:rFonts w:hint="eastAsia" w:ascii="宋体" w:hAnsi="宋体"/>
          <w:color w:val="000000" w:themeColor="text1"/>
          <w:kern w:val="0"/>
          <w:sz w:val="28"/>
          <w:szCs w:val="28"/>
          <w:highlight w:val="none"/>
          <w14:textFill>
            <w14:solidFill>
              <w14:schemeClr w14:val="tx1"/>
            </w14:solidFill>
          </w14:textFill>
        </w:rPr>
      </w:pPr>
    </w:p>
    <w:p w14:paraId="24DE4173">
      <w:pPr>
        <w:autoSpaceDE w:val="0"/>
        <w:autoSpaceDN w:val="0"/>
        <w:jc w:val="left"/>
        <w:rPr>
          <w:rFonts w:hint="eastAsia" w:ascii="宋体" w:hAnsi="宋体"/>
          <w:b/>
          <w:bCs/>
          <w:color w:val="000000" w:themeColor="text1"/>
          <w:kern w:val="0"/>
          <w:sz w:val="30"/>
          <w:szCs w:val="30"/>
          <w:highlight w:val="none"/>
          <w14:textFill>
            <w14:solidFill>
              <w14:schemeClr w14:val="tx1"/>
            </w14:solidFill>
          </w14:textFill>
        </w:rPr>
      </w:pPr>
    </w:p>
    <w:p w14:paraId="11F4995B">
      <w:pPr>
        <w:autoSpaceDE w:val="0"/>
        <w:autoSpaceDN w:val="0"/>
        <w:jc w:val="left"/>
        <w:rPr>
          <w:rFonts w:hint="eastAsia" w:ascii="宋体" w:hAnsi="宋体"/>
          <w:b/>
          <w:bCs/>
          <w:color w:val="000000" w:themeColor="text1"/>
          <w:kern w:val="0"/>
          <w:sz w:val="30"/>
          <w:szCs w:val="30"/>
          <w:highlight w:val="none"/>
          <w14:textFill>
            <w14:solidFill>
              <w14:schemeClr w14:val="tx1"/>
            </w14:solidFill>
          </w14:textFill>
        </w:rPr>
      </w:pPr>
    </w:p>
    <w:p w14:paraId="06AD2C71">
      <w:pPr>
        <w:autoSpaceDE w:val="0"/>
        <w:autoSpaceDN w:val="0"/>
        <w:jc w:val="left"/>
        <w:rPr>
          <w:rFonts w:hint="eastAsia" w:ascii="宋体" w:hAnsi="宋体"/>
          <w:b/>
          <w:bCs/>
          <w:color w:val="000000" w:themeColor="text1"/>
          <w:kern w:val="0"/>
          <w:sz w:val="30"/>
          <w:szCs w:val="30"/>
          <w:highlight w:val="none"/>
          <w14:textFill>
            <w14:solidFill>
              <w14:schemeClr w14:val="tx1"/>
            </w14:solidFill>
          </w14:textFill>
        </w:rPr>
      </w:pPr>
    </w:p>
    <w:p w14:paraId="38EB2177">
      <w:pPr>
        <w:autoSpaceDE w:val="0"/>
        <w:autoSpaceDN w:val="0"/>
        <w:spacing w:line="360" w:lineRule="auto"/>
        <w:ind w:firstLine="1695" w:firstLineChars="565"/>
        <w:jc w:val="left"/>
        <w:rPr>
          <w:rFonts w:hint="eastAsia" w:ascii="宋体" w:hAnsi="宋体" w:eastAsia="宋体"/>
          <w:b/>
          <w:bCs/>
          <w:color w:val="000000" w:themeColor="text1"/>
          <w:kern w:val="0"/>
          <w:sz w:val="30"/>
          <w:szCs w:val="30"/>
          <w:highlight w:val="none"/>
          <w:lang w:eastAsia="zh-CN"/>
          <w14:textFill>
            <w14:solidFill>
              <w14:schemeClr w14:val="tx1"/>
            </w14:solidFill>
          </w14:textFill>
        </w:rPr>
      </w:pPr>
      <w:r>
        <w:rPr>
          <w:rFonts w:hint="eastAsia" w:ascii="宋体" w:hAnsi="宋体"/>
          <w:b/>
          <w:bCs/>
          <w:color w:val="000000" w:themeColor="text1"/>
          <w:kern w:val="0"/>
          <w:sz w:val="30"/>
          <w:szCs w:val="30"/>
          <w:highlight w:val="none"/>
          <w14:textFill>
            <w14:solidFill>
              <w14:schemeClr w14:val="tx1"/>
            </w14:solidFill>
          </w14:textFill>
        </w:rPr>
        <w:t>采   购   人：</w:t>
      </w:r>
      <w:r>
        <w:rPr>
          <w:rFonts w:hint="eastAsia" w:ascii="宋体" w:hAnsi="宋体"/>
          <w:b/>
          <w:bCs/>
          <w:color w:val="000000" w:themeColor="text1"/>
          <w:kern w:val="0"/>
          <w:sz w:val="30"/>
          <w:szCs w:val="30"/>
          <w:highlight w:val="none"/>
          <w:lang w:eastAsia="zh-CN"/>
          <w14:textFill>
            <w14:solidFill>
              <w14:schemeClr w14:val="tx1"/>
            </w14:solidFill>
          </w14:textFill>
        </w:rPr>
        <w:t>平顶山市工业学校</w:t>
      </w:r>
    </w:p>
    <w:p w14:paraId="472D48DB">
      <w:pPr>
        <w:autoSpaceDE w:val="0"/>
        <w:autoSpaceDN w:val="0"/>
        <w:spacing w:line="360" w:lineRule="auto"/>
        <w:ind w:firstLine="1695" w:firstLineChars="565"/>
        <w:rPr>
          <w:rFonts w:hint="eastAsia" w:ascii="宋体" w:hAnsi="宋体"/>
          <w:b/>
          <w:bCs/>
          <w:color w:val="000000" w:themeColor="text1"/>
          <w:kern w:val="0"/>
          <w:sz w:val="30"/>
          <w:szCs w:val="30"/>
          <w:highlight w:val="none"/>
          <w14:textFill>
            <w14:solidFill>
              <w14:schemeClr w14:val="tx1"/>
            </w14:solidFill>
          </w14:textFill>
        </w:rPr>
      </w:pPr>
      <w:r>
        <w:rPr>
          <w:rFonts w:hint="eastAsia" w:ascii="宋体" w:hAnsi="宋体"/>
          <w:b/>
          <w:bCs/>
          <w:color w:val="000000" w:themeColor="text1"/>
          <w:kern w:val="0"/>
          <w:sz w:val="30"/>
          <w:szCs w:val="30"/>
          <w:highlight w:val="none"/>
          <w14:textFill>
            <w14:solidFill>
              <w14:schemeClr w14:val="tx1"/>
            </w14:solidFill>
          </w14:textFill>
        </w:rPr>
        <w:t>采购代理机构：河南荣之鑫工程管理有限公司</w:t>
      </w:r>
    </w:p>
    <w:p w14:paraId="50292E36">
      <w:pPr>
        <w:shd w:val="solid" w:color="FFFFFF" w:fill="auto"/>
        <w:autoSpaceDN w:val="0"/>
        <w:spacing w:line="360" w:lineRule="auto"/>
        <w:ind w:left="1701" w:leftChars="810"/>
        <w:rPr>
          <w:rFonts w:hint="eastAsia" w:ascii="宋体" w:hAnsi="宋体"/>
          <w:b/>
          <w:bCs/>
          <w:color w:val="000000" w:themeColor="text1"/>
          <w:kern w:val="0"/>
          <w:sz w:val="30"/>
          <w:szCs w:val="30"/>
          <w:highlight w:val="none"/>
          <w14:textFill>
            <w14:solidFill>
              <w14:schemeClr w14:val="tx1"/>
            </w14:solidFill>
          </w14:textFill>
        </w:rPr>
      </w:pPr>
      <w:r>
        <w:rPr>
          <w:rFonts w:hint="eastAsia" w:ascii="宋体" w:hAnsi="宋体"/>
          <w:b/>
          <w:bCs/>
          <w:color w:val="000000" w:themeColor="text1"/>
          <w:kern w:val="0"/>
          <w:sz w:val="30"/>
          <w:szCs w:val="30"/>
          <w:highlight w:val="none"/>
          <w14:textFill>
            <w14:solidFill>
              <w14:schemeClr w14:val="tx1"/>
            </w14:solidFill>
          </w14:textFill>
        </w:rPr>
        <w:t>日        期：</w:t>
      </w:r>
      <w:r>
        <w:rPr>
          <w:rFonts w:hint="eastAsia" w:ascii="宋体" w:hAnsi="宋体" w:cs="宋体"/>
          <w:b/>
          <w:bCs/>
          <w:color w:val="000000" w:themeColor="text1"/>
          <w:kern w:val="0"/>
          <w:sz w:val="30"/>
          <w:szCs w:val="30"/>
          <w:highlight w:val="none"/>
          <w14:textFill>
            <w14:solidFill>
              <w14:schemeClr w14:val="tx1"/>
            </w14:solidFill>
          </w14:textFill>
        </w:rPr>
        <w:t>二〇二</w:t>
      </w:r>
      <w:r>
        <w:rPr>
          <w:rFonts w:hint="eastAsia" w:ascii="宋体" w:hAnsi="宋体" w:cs="宋体"/>
          <w:b/>
          <w:bCs/>
          <w:color w:val="000000" w:themeColor="text1"/>
          <w:kern w:val="0"/>
          <w:sz w:val="30"/>
          <w:szCs w:val="30"/>
          <w:highlight w:val="none"/>
          <w:lang w:eastAsia="zh-CN"/>
          <w14:textFill>
            <w14:solidFill>
              <w14:schemeClr w14:val="tx1"/>
            </w14:solidFill>
          </w14:textFill>
        </w:rPr>
        <w:t>六</w:t>
      </w:r>
      <w:r>
        <w:rPr>
          <w:rFonts w:hint="eastAsia" w:ascii="宋体" w:hAnsi="宋体" w:cs="宋体"/>
          <w:b/>
          <w:bCs/>
          <w:color w:val="000000" w:themeColor="text1"/>
          <w:kern w:val="0"/>
          <w:sz w:val="30"/>
          <w:szCs w:val="30"/>
          <w:highlight w:val="none"/>
          <w14:textFill>
            <w14:solidFill>
              <w14:schemeClr w14:val="tx1"/>
            </w14:solidFill>
          </w14:textFill>
        </w:rPr>
        <w:t>年</w:t>
      </w:r>
      <w:r>
        <w:rPr>
          <w:rFonts w:hint="eastAsia" w:ascii="宋体" w:hAnsi="宋体" w:cs="宋体"/>
          <w:b/>
          <w:bCs/>
          <w:color w:val="000000" w:themeColor="text1"/>
          <w:kern w:val="0"/>
          <w:sz w:val="30"/>
          <w:szCs w:val="30"/>
          <w:highlight w:val="none"/>
          <w:lang w:eastAsia="zh-CN"/>
          <w14:textFill>
            <w14:solidFill>
              <w14:schemeClr w14:val="tx1"/>
            </w14:solidFill>
          </w14:textFill>
        </w:rPr>
        <w:t>四</w:t>
      </w:r>
      <w:r>
        <w:rPr>
          <w:rFonts w:hint="eastAsia" w:ascii="宋体" w:hAnsi="宋体" w:cs="宋体"/>
          <w:b/>
          <w:bCs/>
          <w:color w:val="000000" w:themeColor="text1"/>
          <w:kern w:val="0"/>
          <w:sz w:val="30"/>
          <w:szCs w:val="30"/>
          <w:highlight w:val="none"/>
          <w14:textFill>
            <w14:solidFill>
              <w14:schemeClr w14:val="tx1"/>
            </w14:solidFill>
          </w14:textFill>
        </w:rPr>
        <w:t>月</w:t>
      </w:r>
    </w:p>
    <w:p w14:paraId="19F6625C">
      <w:pPr>
        <w:jc w:val="left"/>
        <w:rPr>
          <w:rFonts w:hint="eastAsia" w:ascii="宋体" w:hAnsi="宋体"/>
          <w:color w:val="000000" w:themeColor="text1"/>
          <w:highlight w:val="none"/>
          <w14:textFill>
            <w14:solidFill>
              <w14:schemeClr w14:val="tx1"/>
            </w14:solidFill>
          </w14:textFill>
        </w:rPr>
      </w:pPr>
    </w:p>
    <w:p w14:paraId="138277D6">
      <w:pPr>
        <w:jc w:val="center"/>
        <w:rPr>
          <w:rFonts w:hint="eastAsia" w:ascii="宋体" w:hAnsi="宋体"/>
          <w:b/>
          <w:bCs/>
          <w:color w:val="000000" w:themeColor="text1"/>
          <w:sz w:val="44"/>
          <w:szCs w:val="44"/>
          <w:highlight w:val="none"/>
          <w14:textFill>
            <w14:solidFill>
              <w14:schemeClr w14:val="tx1"/>
            </w14:solidFill>
          </w14:textFill>
        </w:rPr>
        <w:sectPr>
          <w:headerReference r:id="rId3" w:type="default"/>
          <w:footerReference r:id="rId4" w:type="default"/>
          <w:pgSz w:w="11906" w:h="16838"/>
          <w:pgMar w:top="1440" w:right="1440" w:bottom="1440" w:left="1440" w:header="851" w:footer="992" w:gutter="0"/>
          <w:pgBorders>
            <w:top w:val="none" w:sz="0" w:space="0"/>
            <w:left w:val="none" w:sz="0" w:space="0"/>
            <w:bottom w:val="none" w:sz="0" w:space="0"/>
            <w:right w:val="none" w:sz="0" w:space="0"/>
          </w:pgBorders>
          <w:pgNumType w:fmt="decimal" w:start="1"/>
          <w:cols w:space="720" w:num="1"/>
          <w:titlePg/>
          <w:docGrid w:type="linesAndChars" w:linePitch="312" w:charSpace="0"/>
        </w:sectPr>
      </w:pPr>
    </w:p>
    <w:p w14:paraId="7CEE207D">
      <w:pPr>
        <w:jc w:val="center"/>
        <w:rPr>
          <w:rFonts w:hint="eastAsia" w:ascii="宋体" w:hAnsi="宋体"/>
          <w:color w:val="000000" w:themeColor="text1"/>
          <w:highlight w:val="none"/>
          <w14:textFill>
            <w14:solidFill>
              <w14:schemeClr w14:val="tx1"/>
            </w14:solidFill>
          </w14:textFill>
        </w:rPr>
      </w:pPr>
      <w:r>
        <w:rPr>
          <w:rFonts w:hint="eastAsia" w:ascii="宋体" w:hAnsi="宋体"/>
          <w:b/>
          <w:bCs/>
          <w:color w:val="000000" w:themeColor="text1"/>
          <w:sz w:val="44"/>
          <w:szCs w:val="44"/>
          <w:highlight w:val="none"/>
          <w14:textFill>
            <w14:solidFill>
              <w14:schemeClr w14:val="tx1"/>
            </w14:solidFill>
          </w14:textFill>
        </w:rPr>
        <w:t>目  录</w:t>
      </w:r>
    </w:p>
    <w:p w14:paraId="49020DB5">
      <w:pPr>
        <w:pStyle w:val="16"/>
        <w:tabs>
          <w:tab w:val="right" w:leader="dot" w:pos="9026"/>
        </w:tabs>
        <w:spacing w:line="600" w:lineRule="auto"/>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fldChar w:fldCharType="begin"/>
      </w:r>
      <w:r>
        <w:rPr>
          <w:rFonts w:hint="eastAsia" w:ascii="宋体" w:hAnsi="宋体" w:cs="宋体"/>
          <w:color w:val="000000" w:themeColor="text1"/>
          <w:sz w:val="32"/>
          <w:szCs w:val="32"/>
          <w:highlight w:val="none"/>
          <w14:textFill>
            <w14:solidFill>
              <w14:schemeClr w14:val="tx1"/>
            </w14:solidFill>
          </w14:textFill>
        </w:rPr>
        <w:instrText xml:space="preserve">TOC \o "1-3" \h \u </w:instrText>
      </w:r>
      <w:r>
        <w:rPr>
          <w:rFonts w:hint="eastAsia" w:ascii="宋体" w:hAnsi="宋体" w:cs="宋体"/>
          <w:color w:val="000000" w:themeColor="text1"/>
          <w:sz w:val="32"/>
          <w:szCs w:val="32"/>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"_Toc20953"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第一章 招标公告</w:t>
      </w:r>
      <w:bookmarkStart w:id="204" w:name="_GoBack"/>
      <w:bookmarkEnd w:id="204"/>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_Toc20953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2</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209957B7">
      <w:pPr>
        <w:pStyle w:val="16"/>
        <w:tabs>
          <w:tab w:val="right" w:leader="dot" w:pos="9026"/>
        </w:tabs>
        <w:spacing w:line="600" w:lineRule="auto"/>
        <w:rPr>
          <w:rFonts w:hint="eastAsia"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"_Toc22436"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kern w:val="44"/>
          <w:sz w:val="28"/>
          <w:szCs w:val="28"/>
          <w:highlight w:val="none"/>
          <w14:textFill>
            <w14:solidFill>
              <w14:schemeClr w14:val="tx1"/>
            </w14:solidFill>
          </w14:textFill>
        </w:rPr>
        <w:t xml:space="preserve">第二章 </w:t>
      </w:r>
      <w:r>
        <w:rPr>
          <w:rFonts w:hint="eastAsia" w:ascii="宋体" w:hAnsi="宋体" w:cs="宋体"/>
          <w:bCs/>
          <w:color w:val="000000" w:themeColor="text1"/>
          <w:kern w:val="44"/>
          <w:sz w:val="28"/>
          <w:szCs w:val="28"/>
          <w:highlight w:val="none"/>
          <w:lang w:eastAsia="zh-CN"/>
          <w14:textFill>
            <w14:solidFill>
              <w14:schemeClr w14:val="tx1"/>
            </w14:solidFill>
          </w14:textFill>
        </w:rPr>
        <w:t>供应商</w:t>
      </w:r>
      <w:r>
        <w:rPr>
          <w:rFonts w:hint="eastAsia" w:ascii="宋体" w:hAnsi="宋体" w:cs="宋体"/>
          <w:bCs/>
          <w:color w:val="000000" w:themeColor="text1"/>
          <w:kern w:val="44"/>
          <w:sz w:val="28"/>
          <w:szCs w:val="28"/>
          <w:highlight w:val="none"/>
          <w14:textFill>
            <w14:solidFill>
              <w14:schemeClr w14:val="tx1"/>
            </w14:solidFill>
          </w14:textFill>
        </w:rPr>
        <w:t>须知</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_Toc22436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8</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4832BD07">
      <w:pPr>
        <w:pStyle w:val="16"/>
        <w:tabs>
          <w:tab w:val="right" w:leader="dot" w:pos="9026"/>
        </w:tabs>
        <w:spacing w:line="600" w:lineRule="auto"/>
        <w:rPr>
          <w:rFonts w:hint="eastAsia"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"_Toc29838"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第三章 评标办法</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_Toc29838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27</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13FF3103">
      <w:pPr>
        <w:pStyle w:val="16"/>
        <w:tabs>
          <w:tab w:val="right" w:leader="dot" w:pos="9026"/>
        </w:tabs>
        <w:spacing w:line="600" w:lineRule="auto"/>
        <w:rPr>
          <w:rFonts w:hint="eastAsia"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"_Toc14014"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kern w:val="44"/>
          <w:sz w:val="28"/>
          <w:szCs w:val="28"/>
          <w:highlight w:val="none"/>
          <w14:textFill>
            <w14:solidFill>
              <w14:schemeClr w14:val="tx1"/>
            </w14:solidFill>
          </w14:textFill>
        </w:rPr>
        <w:t>第四章 合同条款及格式</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_Toc14014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35</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3000EB3D">
      <w:pPr>
        <w:pStyle w:val="16"/>
        <w:tabs>
          <w:tab w:val="right" w:leader="dot" w:pos="9026"/>
        </w:tabs>
        <w:spacing w:line="600" w:lineRule="auto"/>
        <w:rPr>
          <w:rFonts w:hint="eastAsia" w:ascii="宋体" w:hAnsi="宋体" w:cs="宋体"/>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"_Toc31208"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z w:val="28"/>
          <w:szCs w:val="28"/>
          <w:highlight w:val="none"/>
          <w14:textFill>
            <w14:solidFill>
              <w14:schemeClr w14:val="tx1"/>
            </w14:solidFill>
          </w14:textFill>
        </w:rPr>
        <w:t>第五章 采购需求</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_Toc31208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52</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28377A40">
      <w:pPr>
        <w:pStyle w:val="16"/>
        <w:tabs>
          <w:tab w:val="right" w:leader="dot" w:pos="9026"/>
        </w:tabs>
        <w:spacing w:line="60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"_Toc19501"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第六章 投标文件格式</w:t>
      </w:r>
      <w:r>
        <w:rPr>
          <w:rFonts w:hint="eastAsia" w:ascii="宋体" w:hAnsi="宋体" w:cs="宋体"/>
          <w:color w:val="000000" w:themeColor="text1"/>
          <w:sz w:val="28"/>
          <w:szCs w:val="28"/>
          <w:highlight w:val="none"/>
          <w14:textFill>
            <w14:solidFill>
              <w14:schemeClr w14:val="tx1"/>
            </w14:solidFill>
          </w14:textFill>
        </w:rPr>
        <w:tab/>
      </w:r>
      <w:r>
        <w:rPr>
          <w:rFonts w:hint="eastAsia" w:ascii="宋体" w:hAnsi="宋体" w:cs="宋体"/>
          <w:color w:val="000000" w:themeColor="text1"/>
          <w:sz w:val="28"/>
          <w:szCs w:val="28"/>
          <w:highlight w:val="none"/>
          <w14:textFill>
            <w14:solidFill>
              <w14:schemeClr w14:val="tx1"/>
            </w14:solidFill>
          </w14:textFill>
        </w:rPr>
        <w:fldChar w:fldCharType="begin"/>
      </w:r>
      <w:r>
        <w:rPr>
          <w:rFonts w:hint="eastAsia" w:ascii="宋体" w:hAnsi="宋体" w:cs="宋体"/>
          <w:color w:val="000000" w:themeColor="text1"/>
          <w:sz w:val="28"/>
          <w:szCs w:val="28"/>
          <w:highlight w:val="none"/>
          <w14:textFill>
            <w14:solidFill>
              <w14:schemeClr w14:val="tx1"/>
            </w14:solidFill>
          </w14:textFill>
        </w:rPr>
        <w:instrText xml:space="preserve"> PAGEREF _Toc19501 \h </w:instrText>
      </w:r>
      <w:r>
        <w:rPr>
          <w:rFonts w:hint="eastAsia" w:ascii="宋体" w:hAnsi="宋体" w:cs="宋体"/>
          <w:color w:val="000000" w:themeColor="text1"/>
          <w:sz w:val="28"/>
          <w:szCs w:val="28"/>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62</w:t>
      </w:r>
      <w:r>
        <w:rPr>
          <w:rFonts w:hint="eastAsia" w:ascii="宋体" w:hAnsi="宋体" w:cs="宋体"/>
          <w:color w:val="000000" w:themeColor="text1"/>
          <w:sz w:val="28"/>
          <w:szCs w:val="28"/>
          <w:highlight w:val="none"/>
          <w14:textFill>
            <w14:solidFill>
              <w14:schemeClr w14:val="tx1"/>
            </w14:solidFill>
          </w14:textFill>
        </w:rPr>
        <w:fldChar w:fldCharType="end"/>
      </w:r>
      <w:r>
        <w:rPr>
          <w:rFonts w:hint="eastAsia" w:ascii="宋体" w:hAnsi="宋体" w:cs="宋体"/>
          <w:color w:val="000000" w:themeColor="text1"/>
          <w:sz w:val="28"/>
          <w:szCs w:val="28"/>
          <w:highlight w:val="none"/>
          <w14:textFill>
            <w14:solidFill>
              <w14:schemeClr w14:val="tx1"/>
            </w14:solidFill>
          </w14:textFill>
        </w:rPr>
        <w:fldChar w:fldCharType="end"/>
      </w:r>
    </w:p>
    <w:p w14:paraId="5B961A4A">
      <w:pPr>
        <w:spacing w:line="720" w:lineRule="auto"/>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szCs w:val="32"/>
          <w:highlight w:val="none"/>
          <w14:textFill>
            <w14:solidFill>
              <w14:schemeClr w14:val="tx1"/>
            </w14:solidFill>
          </w14:textFill>
        </w:rPr>
        <w:fldChar w:fldCharType="end"/>
      </w:r>
    </w:p>
    <w:p w14:paraId="6970E553">
      <w:pPr>
        <w:jc w:val="center"/>
        <w:rPr>
          <w:rFonts w:hint="eastAsia" w:ascii="宋体" w:hAnsi="宋体"/>
          <w:color w:val="000000" w:themeColor="text1"/>
          <w:sz w:val="32"/>
          <w:szCs w:val="32"/>
          <w:highlight w:val="none"/>
          <w14:textFill>
            <w14:solidFill>
              <w14:schemeClr w14:val="tx1"/>
            </w14:solidFill>
          </w14:textFill>
        </w:rPr>
      </w:pPr>
    </w:p>
    <w:p w14:paraId="4DCC3C15">
      <w:pPr>
        <w:jc w:val="center"/>
        <w:rPr>
          <w:rFonts w:hint="eastAsia" w:ascii="宋体" w:hAnsi="宋体"/>
          <w:color w:val="000000" w:themeColor="text1"/>
          <w:sz w:val="32"/>
          <w:szCs w:val="32"/>
          <w:highlight w:val="none"/>
          <w14:textFill>
            <w14:solidFill>
              <w14:schemeClr w14:val="tx1"/>
            </w14:solidFill>
          </w14:textFill>
        </w:rPr>
      </w:pPr>
    </w:p>
    <w:p w14:paraId="57F6B3C5">
      <w:pPr>
        <w:jc w:val="center"/>
        <w:rPr>
          <w:rFonts w:hint="eastAsia" w:ascii="宋体" w:hAnsi="宋体"/>
          <w:color w:val="000000" w:themeColor="text1"/>
          <w:sz w:val="32"/>
          <w:szCs w:val="32"/>
          <w:highlight w:val="none"/>
          <w14:textFill>
            <w14:solidFill>
              <w14:schemeClr w14:val="tx1"/>
            </w14:solidFill>
          </w14:textFill>
        </w:rPr>
      </w:pPr>
    </w:p>
    <w:p w14:paraId="1C70C9A4">
      <w:pPr>
        <w:jc w:val="center"/>
        <w:rPr>
          <w:rFonts w:hint="eastAsia" w:ascii="宋体" w:hAnsi="宋体"/>
          <w:color w:val="000000" w:themeColor="text1"/>
          <w:sz w:val="32"/>
          <w:szCs w:val="32"/>
          <w:highlight w:val="none"/>
          <w14:textFill>
            <w14:solidFill>
              <w14:schemeClr w14:val="tx1"/>
            </w14:solidFill>
          </w14:textFill>
        </w:rPr>
      </w:pPr>
    </w:p>
    <w:p w14:paraId="1F234B92">
      <w:pPr>
        <w:jc w:val="center"/>
        <w:rPr>
          <w:rFonts w:hint="eastAsia" w:ascii="宋体" w:hAnsi="宋体"/>
          <w:color w:val="000000" w:themeColor="text1"/>
          <w:sz w:val="32"/>
          <w:szCs w:val="32"/>
          <w:highlight w:val="none"/>
          <w14:textFill>
            <w14:solidFill>
              <w14:schemeClr w14:val="tx1"/>
            </w14:solidFill>
          </w14:textFill>
        </w:rPr>
      </w:pPr>
    </w:p>
    <w:p w14:paraId="325FAD29">
      <w:pPr>
        <w:jc w:val="center"/>
        <w:rPr>
          <w:rFonts w:hint="eastAsia" w:ascii="宋体" w:hAnsi="宋体"/>
          <w:color w:val="000000" w:themeColor="text1"/>
          <w:sz w:val="32"/>
          <w:szCs w:val="32"/>
          <w:highlight w:val="none"/>
          <w14:textFill>
            <w14:solidFill>
              <w14:schemeClr w14:val="tx1"/>
            </w14:solidFill>
          </w14:textFill>
        </w:rPr>
      </w:pPr>
    </w:p>
    <w:p w14:paraId="2DC281BB">
      <w:pPr>
        <w:numPr>
          <w:ilvl w:val="0"/>
          <w:numId w:val="2"/>
        </w:numPr>
        <w:shd w:val="solid" w:color="FFFFFF" w:fill="auto"/>
        <w:autoSpaceDN w:val="0"/>
        <w:spacing w:line="360" w:lineRule="auto"/>
        <w:jc w:val="center"/>
        <w:rPr>
          <w:rFonts w:hint="eastAsia" w:ascii="宋体" w:hAnsi="宋体"/>
          <w:b/>
          <w:bCs/>
          <w:color w:val="000000" w:themeColor="text1"/>
          <w:kern w:val="44"/>
          <w:sz w:val="36"/>
          <w:szCs w:val="36"/>
          <w:highlight w:val="none"/>
          <w14:textFill>
            <w14:solidFill>
              <w14:schemeClr w14:val="tx1"/>
            </w14:solidFill>
          </w14:textFill>
        </w:rPr>
        <w:sectPr>
          <w:footerReference r:id="rId5" w:type="default"/>
          <w:pgSz w:w="11906" w:h="16838"/>
          <w:pgMar w:top="1440" w:right="1440" w:bottom="1440" w:left="1440" w:header="851" w:footer="992" w:gutter="0"/>
          <w:pgBorders>
            <w:top w:val="none" w:sz="0" w:space="0"/>
            <w:left w:val="none" w:sz="0" w:space="0"/>
            <w:bottom w:val="none" w:sz="0" w:space="0"/>
            <w:right w:val="none" w:sz="0" w:space="0"/>
          </w:pgBorders>
          <w:pgNumType w:fmt="decimal" w:start="1"/>
          <w:cols w:space="720" w:num="1"/>
          <w:docGrid w:type="linesAndChars" w:linePitch="312" w:charSpace="0"/>
        </w:sectPr>
      </w:pPr>
    </w:p>
    <w:p w14:paraId="5BE7FD9B">
      <w:pPr>
        <w:pStyle w:val="33"/>
        <w:spacing w:before="100" w:after="100" w:line="360" w:lineRule="auto"/>
        <w:jc w:val="center"/>
        <w:rPr>
          <w:rFonts w:hint="eastAsia" w:ascii="宋体" w:hAnsi="宋体"/>
          <w:color w:val="000000" w:themeColor="text1"/>
          <w:sz w:val="36"/>
          <w:szCs w:val="36"/>
          <w:highlight w:val="none"/>
          <w14:textFill>
            <w14:solidFill>
              <w14:schemeClr w14:val="tx1"/>
            </w14:solidFill>
          </w14:textFill>
        </w:rPr>
      </w:pPr>
      <w:bookmarkStart w:id="0" w:name="_Toc29177"/>
      <w:bookmarkEnd w:id="0"/>
      <w:bookmarkStart w:id="1" w:name="_Toc20953"/>
      <w:r>
        <w:rPr>
          <w:rFonts w:hint="eastAsia" w:ascii="宋体" w:hAnsi="宋体"/>
          <w:color w:val="000000" w:themeColor="text1"/>
          <w:sz w:val="36"/>
          <w:szCs w:val="36"/>
          <w:highlight w:val="none"/>
          <w14:textFill>
            <w14:solidFill>
              <w14:schemeClr w14:val="tx1"/>
            </w14:solidFill>
          </w14:textFill>
        </w:rPr>
        <w:t>第一章  招标公告</w:t>
      </w:r>
      <w:bookmarkEnd w:id="1"/>
    </w:p>
    <w:p w14:paraId="7AB638C6">
      <w:pPr>
        <w:pStyle w:val="21"/>
        <w:ind w:left="0" w:leftChars="0" w:firstLine="0" w:firstLineChars="0"/>
        <w:jc w:val="center"/>
        <w:rPr>
          <w:rFonts w:hint="eastAsia" w:ascii="宋体" w:hAnsi="宋体"/>
          <w:b/>
          <w:color w:val="000000" w:themeColor="text1"/>
          <w:sz w:val="30"/>
          <w:szCs w:val="32"/>
          <w:highlight w:val="none"/>
          <w14:textFill>
            <w14:solidFill>
              <w14:schemeClr w14:val="tx1"/>
            </w14:solidFill>
          </w14:textFill>
        </w:rPr>
      </w:pPr>
      <w:bookmarkStart w:id="2" w:name="_Toc515899551"/>
      <w:bookmarkStart w:id="3" w:name="_Toc435272774"/>
      <w:bookmarkStart w:id="4" w:name="_Toc411857595"/>
      <w:bookmarkStart w:id="5" w:name="_Toc19234"/>
      <w:r>
        <w:rPr>
          <w:rFonts w:hint="eastAsia" w:ascii="宋体" w:hAnsi="宋体"/>
          <w:b/>
          <w:color w:val="000000" w:themeColor="text1"/>
          <w:sz w:val="30"/>
          <w:szCs w:val="32"/>
          <w:highlight w:val="none"/>
          <w14:textFill>
            <w14:solidFill>
              <w14:schemeClr w14:val="tx1"/>
            </w14:solidFill>
          </w14:textFill>
        </w:rPr>
        <w:t>【平公资采2026639号】</w:t>
      </w:r>
      <w:r>
        <w:rPr>
          <w:rFonts w:hint="eastAsia" w:ascii="宋体" w:hAnsi="宋体"/>
          <w:b/>
          <w:color w:val="000000" w:themeColor="text1"/>
          <w:sz w:val="30"/>
          <w:szCs w:val="32"/>
          <w:highlight w:val="none"/>
          <w:lang w:eastAsia="zh-CN"/>
          <w14:textFill>
            <w14:solidFill>
              <w14:schemeClr w14:val="tx1"/>
            </w14:solidFill>
          </w14:textFill>
        </w:rPr>
        <w:t>平顶山市工业学校新媒体营销实训系统及实训室建设项目</w:t>
      </w:r>
      <w:r>
        <w:rPr>
          <w:rFonts w:hint="eastAsia" w:ascii="宋体" w:hAnsi="宋体"/>
          <w:b/>
          <w:color w:val="000000" w:themeColor="text1"/>
          <w:sz w:val="30"/>
          <w:szCs w:val="32"/>
          <w:highlight w:val="none"/>
          <w:lang w:val="en-US" w:eastAsia="zh-CN"/>
          <w14:textFill>
            <w14:solidFill>
              <w14:schemeClr w14:val="tx1"/>
            </w14:solidFill>
          </w14:textFill>
        </w:rPr>
        <w:t>-公开招标</w:t>
      </w:r>
      <w:r>
        <w:rPr>
          <w:rFonts w:hint="eastAsia" w:ascii="宋体" w:hAnsi="宋体"/>
          <w:b/>
          <w:color w:val="000000" w:themeColor="text1"/>
          <w:sz w:val="30"/>
          <w:szCs w:val="32"/>
          <w:highlight w:val="none"/>
          <w14:textFill>
            <w14:solidFill>
              <w14:schemeClr w14:val="tx1"/>
            </w14:solidFill>
          </w14:textFill>
        </w:rPr>
        <w:t>公告</w:t>
      </w:r>
    </w:p>
    <w:bookmarkEnd w:id="2"/>
    <w:bookmarkEnd w:id="3"/>
    <w:bookmarkEnd w:id="4"/>
    <w:bookmarkEnd w:id="5"/>
    <w:p w14:paraId="40354BBF">
      <w:pPr>
        <w:pStyle w:val="21"/>
        <w:spacing w:line="440" w:lineRule="exact"/>
        <w:ind w:left="0" w:leftChars="0" w:firstLine="480"/>
        <w:rPr>
          <w:rFonts w:hint="eastAsia" w:ascii="宋体" w:hAnsi="宋体" w:cs="宋体"/>
          <w:color w:val="000000"/>
          <w:sz w:val="24"/>
          <w:szCs w:val="24"/>
          <w:highlight w:val="none"/>
        </w:rPr>
      </w:pPr>
      <w:bookmarkStart w:id="6" w:name="_Toc18646"/>
      <w:r>
        <w:rPr>
          <w:rFonts w:hint="eastAsia" w:ascii="宋体" w:hAnsi="宋体" w:cs="宋体"/>
          <w:color w:val="000000"/>
          <w:sz w:val="24"/>
          <w:szCs w:val="24"/>
          <w:highlight w:val="none"/>
        </w:rPr>
        <w:t>项目概况</w:t>
      </w:r>
    </w:p>
    <w:p w14:paraId="666E9BBA">
      <w:pPr>
        <w:pStyle w:val="21"/>
        <w:spacing w:line="440" w:lineRule="exact"/>
        <w:ind w:left="0" w:leftChars="0" w:firstLine="496"/>
        <w:rPr>
          <w:rFonts w:hint="eastAsia" w:ascii="宋体" w:hAnsi="宋体" w:cs="宋体"/>
          <w:b/>
          <w:color w:val="000000"/>
          <w:sz w:val="24"/>
          <w:szCs w:val="24"/>
          <w:highlight w:val="none"/>
        </w:rPr>
      </w:pPr>
      <w:r>
        <w:rPr>
          <w:rFonts w:hint="eastAsia" w:ascii="宋体" w:hAnsi="宋体" w:cs="宋体"/>
          <w:bCs/>
          <w:color w:val="000000"/>
          <w:kern w:val="0"/>
          <w:sz w:val="24"/>
          <w:szCs w:val="24"/>
          <w:highlight w:val="none"/>
          <w:lang w:val="en-US" w:eastAsia="zh-CN" w:bidi="ar"/>
        </w:rPr>
        <w:t>平顶山市工业学校新媒体营销实训系统及实训室建设项目</w:t>
      </w:r>
      <w:r>
        <w:rPr>
          <w:rFonts w:hint="eastAsia" w:ascii="宋体" w:hAnsi="宋体" w:eastAsia="宋体" w:cs="宋体"/>
          <w:bCs/>
          <w:color w:val="000000"/>
          <w:kern w:val="0"/>
          <w:sz w:val="24"/>
          <w:szCs w:val="24"/>
          <w:highlight w:val="none"/>
          <w:lang w:val="en-US" w:eastAsia="zh-CN" w:bidi="ar"/>
        </w:rPr>
        <w:t>招标项目的潜在投标人应在《全国公共资源交易平台（河南省·平顶山市）》</w:t>
      </w:r>
      <w:r>
        <w:rPr>
          <w:rFonts w:hint="eastAsia" w:ascii="宋体" w:hAnsi="宋体" w:cs="宋体"/>
          <w:kern w:val="0"/>
          <w:sz w:val="24"/>
          <w:highlight w:val="none"/>
        </w:rPr>
        <w:t>(</w:t>
      </w:r>
      <w:r>
        <w:rPr>
          <w:rFonts w:hint="eastAsia" w:ascii="宋体" w:hAnsi="宋体" w:cs="宋体"/>
          <w:kern w:val="0"/>
          <w:sz w:val="24"/>
          <w:highlight w:val="none"/>
        </w:rPr>
        <w:fldChar w:fldCharType="begin"/>
      </w:r>
      <w:r>
        <w:rPr>
          <w:rFonts w:hint="eastAsia" w:ascii="宋体" w:hAnsi="宋体" w:cs="宋体"/>
          <w:kern w:val="0"/>
          <w:sz w:val="24"/>
          <w:highlight w:val="none"/>
        </w:rPr>
        <w:instrText xml:space="preserve"> HYPERLINK "http://ggzy.pds.gov.cn/" </w:instrText>
      </w:r>
      <w:r>
        <w:rPr>
          <w:rFonts w:hint="eastAsia" w:ascii="宋体" w:hAnsi="宋体" w:cs="宋体"/>
          <w:kern w:val="0"/>
          <w:sz w:val="24"/>
          <w:highlight w:val="none"/>
        </w:rPr>
        <w:fldChar w:fldCharType="separate"/>
      </w:r>
      <w:r>
        <w:rPr>
          <w:rFonts w:hint="eastAsia" w:ascii="宋体" w:hAnsi="宋体" w:cs="宋体"/>
          <w:kern w:val="0"/>
          <w:sz w:val="24"/>
          <w:highlight w:val="none"/>
        </w:rPr>
        <w:t>http://ggzy.pds.gov.cn/</w:t>
      </w:r>
      <w:r>
        <w:rPr>
          <w:rFonts w:hint="eastAsia" w:ascii="宋体" w:hAnsi="宋体" w:cs="宋体"/>
          <w:kern w:val="0"/>
          <w:sz w:val="24"/>
          <w:highlight w:val="none"/>
        </w:rPr>
        <w:fldChar w:fldCharType="end"/>
      </w:r>
      <w:r>
        <w:rPr>
          <w:rFonts w:hint="eastAsia" w:ascii="宋体" w:hAnsi="宋体" w:cs="宋体"/>
          <w:kern w:val="0"/>
          <w:sz w:val="24"/>
          <w:highlight w:val="none"/>
        </w:rPr>
        <w:t>)</w:t>
      </w:r>
      <w:r>
        <w:rPr>
          <w:rFonts w:hint="eastAsia" w:ascii="宋体" w:hAnsi="宋体" w:eastAsia="宋体" w:cs="宋体"/>
          <w:bCs/>
          <w:color w:val="000000"/>
          <w:kern w:val="0"/>
          <w:sz w:val="24"/>
          <w:szCs w:val="24"/>
          <w:highlight w:val="none"/>
          <w:lang w:val="en-US" w:eastAsia="zh-CN" w:bidi="ar"/>
        </w:rPr>
        <w:t>获取招标文件，并于</w:t>
      </w:r>
      <w:r>
        <w:rPr>
          <w:rFonts w:hint="eastAsia" w:ascii="宋体" w:hAnsi="宋体" w:cs="宋体"/>
          <w:bCs/>
          <w:color w:val="000000"/>
          <w:kern w:val="0"/>
          <w:sz w:val="24"/>
          <w:szCs w:val="24"/>
          <w:highlight w:val="none"/>
          <w:lang w:val="en-US" w:eastAsia="zh-CN" w:bidi="ar"/>
        </w:rPr>
        <w:t>2026年08</w:t>
      </w:r>
      <w:r>
        <w:rPr>
          <w:rFonts w:hint="eastAsia" w:ascii="宋体" w:hAnsi="宋体" w:eastAsia="宋体" w:cs="宋体"/>
          <w:bCs/>
          <w:color w:val="000000"/>
          <w:kern w:val="0"/>
          <w:sz w:val="24"/>
          <w:szCs w:val="24"/>
          <w:highlight w:val="none"/>
          <w:lang w:val="en-US" w:eastAsia="zh-CN" w:bidi="ar"/>
        </w:rPr>
        <w:t>月</w:t>
      </w:r>
      <w:r>
        <w:rPr>
          <w:rFonts w:hint="eastAsia" w:ascii="宋体" w:hAnsi="宋体" w:cs="宋体"/>
          <w:bCs/>
          <w:color w:val="000000"/>
          <w:kern w:val="0"/>
          <w:sz w:val="24"/>
          <w:szCs w:val="24"/>
          <w:highlight w:val="none"/>
          <w:lang w:val="en-US" w:eastAsia="zh-CN" w:bidi="ar"/>
        </w:rPr>
        <w:t>05</w:t>
      </w:r>
      <w:r>
        <w:rPr>
          <w:rFonts w:hint="eastAsia" w:ascii="宋体" w:hAnsi="宋体" w:eastAsia="宋体" w:cs="宋体"/>
          <w:bCs/>
          <w:color w:val="000000"/>
          <w:kern w:val="0"/>
          <w:sz w:val="24"/>
          <w:szCs w:val="24"/>
          <w:highlight w:val="none"/>
          <w:lang w:val="en-US" w:eastAsia="zh-CN" w:bidi="ar"/>
        </w:rPr>
        <w:t>日</w:t>
      </w:r>
      <w:r>
        <w:rPr>
          <w:rFonts w:hint="eastAsia" w:ascii="宋体" w:hAnsi="宋体" w:cs="宋体"/>
          <w:bCs/>
          <w:color w:val="000000"/>
          <w:kern w:val="0"/>
          <w:sz w:val="24"/>
          <w:szCs w:val="24"/>
          <w:highlight w:val="none"/>
          <w:lang w:val="en-US" w:eastAsia="zh-CN" w:bidi="ar"/>
        </w:rPr>
        <w:t>09</w:t>
      </w:r>
      <w:r>
        <w:rPr>
          <w:rFonts w:hint="eastAsia" w:ascii="宋体" w:hAnsi="宋体" w:eastAsia="宋体" w:cs="宋体"/>
          <w:bCs/>
          <w:color w:val="000000"/>
          <w:kern w:val="0"/>
          <w:sz w:val="24"/>
          <w:szCs w:val="24"/>
          <w:highlight w:val="none"/>
          <w:lang w:val="en-US" w:eastAsia="zh-CN" w:bidi="ar"/>
        </w:rPr>
        <w:t>时</w:t>
      </w:r>
      <w:r>
        <w:rPr>
          <w:rFonts w:hint="eastAsia" w:ascii="宋体" w:hAnsi="宋体" w:cs="宋体"/>
          <w:bCs/>
          <w:color w:val="000000"/>
          <w:kern w:val="0"/>
          <w:sz w:val="24"/>
          <w:szCs w:val="24"/>
          <w:highlight w:val="none"/>
          <w:lang w:val="en-US" w:eastAsia="zh-CN" w:bidi="ar"/>
        </w:rPr>
        <w:t>00</w:t>
      </w:r>
      <w:r>
        <w:rPr>
          <w:rFonts w:hint="eastAsia" w:ascii="宋体" w:hAnsi="宋体" w:eastAsia="宋体" w:cs="宋体"/>
          <w:bCs/>
          <w:color w:val="000000"/>
          <w:kern w:val="0"/>
          <w:sz w:val="24"/>
          <w:szCs w:val="24"/>
          <w:highlight w:val="none"/>
          <w:lang w:val="en-US" w:eastAsia="zh-CN" w:bidi="ar"/>
        </w:rPr>
        <w:t>分</w:t>
      </w:r>
      <w:r>
        <w:rPr>
          <w:rFonts w:hint="eastAsia" w:ascii="宋体" w:hAnsi="宋体" w:eastAsia="宋体" w:cs="宋体"/>
          <w:bCs/>
          <w:color w:val="000000"/>
          <w:kern w:val="0"/>
          <w:sz w:val="24"/>
          <w:szCs w:val="24"/>
          <w:highlight w:val="none"/>
          <w:lang w:val="en-US" w:eastAsia="zh-CN" w:bidi="ar"/>
        </w:rPr>
        <w:t>（北京时间）前递交投标文件。</w:t>
      </w:r>
    </w:p>
    <w:p w14:paraId="65922060">
      <w:pPr>
        <w:spacing w:line="440" w:lineRule="exact"/>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一、项目基本情况</w:t>
      </w:r>
    </w:p>
    <w:p w14:paraId="282B65FC">
      <w:pPr>
        <w:spacing w:line="440" w:lineRule="exact"/>
        <w:ind w:firstLine="480" w:firstLineChars="200"/>
        <w:jc w:val="left"/>
        <w:rPr>
          <w:rFonts w:hint="default" w:ascii="宋体" w:hAnsi="宋体" w:eastAsia="宋体" w:cs="宋体"/>
          <w:bCs/>
          <w:color w:val="000000"/>
          <w:kern w:val="0"/>
          <w:sz w:val="24"/>
          <w:szCs w:val="24"/>
          <w:highlight w:val="none"/>
          <w:lang w:val="en-US" w:eastAsia="zh-CN" w:bidi="ar"/>
        </w:rPr>
      </w:pPr>
      <w:r>
        <w:rPr>
          <w:rFonts w:hint="eastAsia" w:ascii="宋体" w:hAnsi="宋体" w:cs="宋体"/>
          <w:bCs/>
          <w:color w:val="000000"/>
          <w:kern w:val="0"/>
          <w:sz w:val="24"/>
          <w:szCs w:val="24"/>
          <w:highlight w:val="none"/>
          <w:lang w:bidi="ar"/>
        </w:rPr>
        <w:t>1</w:t>
      </w:r>
      <w:r>
        <w:rPr>
          <w:rFonts w:hint="eastAsia" w:ascii="宋体" w:hAnsi="宋体" w:cs="宋体"/>
          <w:bCs/>
          <w:color w:val="000000"/>
          <w:kern w:val="0"/>
          <w:sz w:val="24"/>
          <w:szCs w:val="24"/>
          <w:highlight w:val="none"/>
          <w:lang w:val="en-US" w:eastAsia="zh-CN" w:bidi="ar"/>
        </w:rPr>
        <w:t>.</w:t>
      </w:r>
      <w:r>
        <w:rPr>
          <w:rFonts w:hint="eastAsia" w:ascii="宋体" w:hAnsi="宋体" w:cs="宋体"/>
          <w:bCs/>
          <w:color w:val="000000"/>
          <w:kern w:val="0"/>
          <w:sz w:val="24"/>
          <w:szCs w:val="24"/>
          <w:highlight w:val="none"/>
          <w:lang w:bidi="ar"/>
        </w:rPr>
        <w:t>项目编号：平采招标-2026-53</w:t>
      </w:r>
    </w:p>
    <w:p w14:paraId="1572A093">
      <w:pPr>
        <w:spacing w:line="440" w:lineRule="exact"/>
        <w:ind w:firstLine="480" w:firstLineChars="200"/>
        <w:jc w:val="left"/>
        <w:rPr>
          <w:rFonts w:hint="eastAsia" w:ascii="宋体" w:hAnsi="宋体" w:eastAsia="宋体" w:cs="宋体"/>
          <w:bCs/>
          <w:color w:val="000000"/>
          <w:kern w:val="0"/>
          <w:sz w:val="24"/>
          <w:szCs w:val="24"/>
          <w:highlight w:val="none"/>
          <w:lang w:eastAsia="zh-CN" w:bidi="ar"/>
        </w:rPr>
      </w:pPr>
      <w:r>
        <w:rPr>
          <w:rFonts w:hint="eastAsia" w:ascii="宋体" w:hAnsi="宋体" w:cs="宋体"/>
          <w:bCs/>
          <w:color w:val="000000"/>
          <w:kern w:val="0"/>
          <w:sz w:val="24"/>
          <w:szCs w:val="24"/>
          <w:highlight w:val="none"/>
          <w:lang w:bidi="ar"/>
        </w:rPr>
        <w:t>2</w:t>
      </w:r>
      <w:r>
        <w:rPr>
          <w:rFonts w:hint="eastAsia" w:ascii="宋体" w:hAnsi="宋体" w:cs="宋体"/>
          <w:bCs/>
          <w:color w:val="000000"/>
          <w:kern w:val="0"/>
          <w:sz w:val="24"/>
          <w:szCs w:val="24"/>
          <w:highlight w:val="none"/>
          <w:lang w:val="en-US" w:eastAsia="zh-CN" w:bidi="ar"/>
        </w:rPr>
        <w:t>.</w:t>
      </w:r>
      <w:r>
        <w:rPr>
          <w:rFonts w:hint="eastAsia" w:ascii="宋体" w:hAnsi="宋体" w:cs="宋体"/>
          <w:bCs/>
          <w:color w:val="000000"/>
          <w:kern w:val="0"/>
          <w:sz w:val="24"/>
          <w:szCs w:val="24"/>
          <w:highlight w:val="none"/>
          <w:lang w:bidi="ar"/>
        </w:rPr>
        <w:t>项目名称：</w:t>
      </w:r>
      <w:r>
        <w:rPr>
          <w:rFonts w:hint="eastAsia" w:ascii="宋体" w:hAnsi="宋体" w:cs="宋体"/>
          <w:bCs/>
          <w:color w:val="000000"/>
          <w:kern w:val="0"/>
          <w:sz w:val="24"/>
          <w:szCs w:val="24"/>
          <w:highlight w:val="none"/>
          <w:lang w:eastAsia="zh-CN" w:bidi="ar"/>
        </w:rPr>
        <w:t>平顶山市工业学校新媒体营销实训系统及实训室建设项目</w:t>
      </w:r>
    </w:p>
    <w:p w14:paraId="6E914B26">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3</w:t>
      </w:r>
      <w:r>
        <w:rPr>
          <w:rFonts w:hint="eastAsia" w:ascii="宋体" w:hAnsi="宋体" w:cs="宋体"/>
          <w:bCs/>
          <w:color w:val="000000"/>
          <w:kern w:val="0"/>
          <w:sz w:val="24"/>
          <w:szCs w:val="24"/>
          <w:highlight w:val="none"/>
          <w:lang w:val="en-US" w:eastAsia="zh-CN" w:bidi="ar"/>
        </w:rPr>
        <w:t>.</w:t>
      </w:r>
      <w:r>
        <w:rPr>
          <w:rFonts w:hint="eastAsia" w:ascii="宋体" w:hAnsi="宋体" w:cs="宋体"/>
          <w:bCs/>
          <w:color w:val="000000"/>
          <w:kern w:val="0"/>
          <w:sz w:val="24"/>
          <w:szCs w:val="24"/>
          <w:highlight w:val="none"/>
          <w:lang w:bidi="ar"/>
        </w:rPr>
        <w:t>采购方式：公开招标</w:t>
      </w:r>
    </w:p>
    <w:p w14:paraId="7B499095">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4</w:t>
      </w:r>
      <w:r>
        <w:rPr>
          <w:rFonts w:hint="eastAsia" w:ascii="宋体" w:hAnsi="宋体" w:cs="宋体"/>
          <w:bCs/>
          <w:color w:val="000000"/>
          <w:kern w:val="0"/>
          <w:sz w:val="24"/>
          <w:szCs w:val="24"/>
          <w:highlight w:val="none"/>
          <w:lang w:val="en-US" w:eastAsia="zh-CN" w:bidi="ar"/>
        </w:rPr>
        <w:t>.</w:t>
      </w:r>
      <w:r>
        <w:rPr>
          <w:rFonts w:hint="eastAsia" w:ascii="宋体" w:hAnsi="宋体" w:cs="宋体"/>
          <w:bCs/>
          <w:color w:val="000000"/>
          <w:kern w:val="0"/>
          <w:sz w:val="24"/>
          <w:szCs w:val="24"/>
          <w:highlight w:val="none"/>
          <w:lang w:bidi="ar"/>
        </w:rPr>
        <w:t>预算金额：</w:t>
      </w:r>
      <w:r>
        <w:rPr>
          <w:rFonts w:hint="eastAsia" w:ascii="宋体" w:hAnsi="宋体" w:cs="宋体"/>
          <w:bCs/>
          <w:color w:val="000000"/>
          <w:kern w:val="0"/>
          <w:sz w:val="24"/>
          <w:szCs w:val="24"/>
          <w:highlight w:val="none"/>
          <w:lang w:eastAsia="zh-CN" w:bidi="ar"/>
        </w:rPr>
        <w:t>517350.00</w:t>
      </w:r>
      <w:r>
        <w:rPr>
          <w:rFonts w:hint="eastAsia" w:ascii="宋体" w:hAnsi="宋体" w:cs="宋体"/>
          <w:bCs/>
          <w:color w:val="000000"/>
          <w:kern w:val="0"/>
          <w:sz w:val="24"/>
          <w:szCs w:val="24"/>
          <w:highlight w:val="none"/>
          <w:lang w:bidi="ar"/>
        </w:rPr>
        <w:t xml:space="preserve">元 </w:t>
      </w:r>
    </w:p>
    <w:p w14:paraId="2DA120BF">
      <w:pPr>
        <w:spacing w:line="440" w:lineRule="exact"/>
        <w:ind w:firstLine="960" w:firstLineChars="4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最高限价：</w:t>
      </w:r>
      <w:r>
        <w:rPr>
          <w:rFonts w:hint="eastAsia" w:ascii="宋体" w:hAnsi="宋体" w:cs="宋体"/>
          <w:bCs/>
          <w:color w:val="000000"/>
          <w:kern w:val="0"/>
          <w:sz w:val="24"/>
          <w:szCs w:val="24"/>
          <w:highlight w:val="none"/>
          <w:lang w:eastAsia="zh-CN" w:bidi="ar"/>
        </w:rPr>
        <w:t>517350</w:t>
      </w:r>
      <w:r>
        <w:rPr>
          <w:rFonts w:hint="eastAsia" w:ascii="宋体" w:hAnsi="宋体" w:cs="宋体"/>
          <w:bCs/>
          <w:color w:val="000000"/>
          <w:kern w:val="0"/>
          <w:sz w:val="24"/>
          <w:szCs w:val="24"/>
          <w:highlight w:val="none"/>
          <w:lang w:bidi="ar"/>
        </w:rPr>
        <w:t xml:space="preserve">元 </w:t>
      </w:r>
    </w:p>
    <w:tbl>
      <w:tblPr>
        <w:tblStyle w:val="22"/>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2086"/>
        <w:gridCol w:w="2259"/>
        <w:gridCol w:w="2181"/>
        <w:gridCol w:w="2218"/>
      </w:tblGrid>
      <w:tr w14:paraId="2C58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013" w:type="dxa"/>
            <w:noWrap w:val="0"/>
            <w:vAlign w:val="center"/>
          </w:tcPr>
          <w:p w14:paraId="357DB8E9">
            <w:pPr>
              <w:spacing w:line="440" w:lineRule="exact"/>
              <w:jc w:val="center"/>
              <w:rPr>
                <w:rFonts w:hint="eastAsia" w:ascii="宋体" w:hAnsi="宋体" w:cs="宋体"/>
                <w:bCs/>
                <w:color w:val="000000"/>
                <w:kern w:val="0"/>
                <w:highlight w:val="none"/>
                <w:lang w:bidi="ar"/>
              </w:rPr>
            </w:pPr>
            <w:r>
              <w:rPr>
                <w:rFonts w:hint="eastAsia" w:ascii="宋体" w:hAnsi="宋体" w:cs="宋体"/>
                <w:bCs/>
                <w:color w:val="000000"/>
                <w:kern w:val="0"/>
                <w:highlight w:val="none"/>
                <w:lang w:bidi="ar"/>
              </w:rPr>
              <w:t>序号</w:t>
            </w:r>
          </w:p>
        </w:tc>
        <w:tc>
          <w:tcPr>
            <w:tcW w:w="2086" w:type="dxa"/>
            <w:noWrap w:val="0"/>
            <w:vAlign w:val="center"/>
          </w:tcPr>
          <w:p w14:paraId="39CABD0D">
            <w:pPr>
              <w:spacing w:line="440" w:lineRule="exact"/>
              <w:jc w:val="center"/>
              <w:rPr>
                <w:rFonts w:hint="eastAsia" w:ascii="宋体" w:hAnsi="宋体" w:cs="宋体"/>
                <w:bCs/>
                <w:color w:val="000000"/>
                <w:kern w:val="0"/>
                <w:highlight w:val="none"/>
                <w:lang w:bidi="ar"/>
              </w:rPr>
            </w:pPr>
            <w:r>
              <w:rPr>
                <w:rFonts w:hint="eastAsia" w:ascii="宋体" w:hAnsi="宋体" w:cs="宋体"/>
                <w:bCs/>
                <w:color w:val="000000"/>
                <w:kern w:val="0"/>
                <w:highlight w:val="none"/>
                <w:lang w:bidi="ar"/>
              </w:rPr>
              <w:t>包号</w:t>
            </w:r>
          </w:p>
        </w:tc>
        <w:tc>
          <w:tcPr>
            <w:tcW w:w="2259" w:type="dxa"/>
            <w:noWrap w:val="0"/>
            <w:vAlign w:val="center"/>
          </w:tcPr>
          <w:p w14:paraId="10036741">
            <w:pPr>
              <w:spacing w:line="440" w:lineRule="exact"/>
              <w:jc w:val="center"/>
              <w:rPr>
                <w:rFonts w:hint="eastAsia" w:ascii="宋体" w:hAnsi="宋体" w:cs="宋体"/>
                <w:bCs/>
                <w:color w:val="000000"/>
                <w:kern w:val="0"/>
                <w:highlight w:val="none"/>
                <w:lang w:bidi="ar"/>
              </w:rPr>
            </w:pPr>
            <w:r>
              <w:rPr>
                <w:rFonts w:hint="eastAsia" w:ascii="宋体" w:hAnsi="宋体" w:cs="宋体"/>
                <w:bCs/>
                <w:color w:val="000000"/>
                <w:kern w:val="0"/>
                <w:highlight w:val="none"/>
                <w:lang w:bidi="ar"/>
              </w:rPr>
              <w:t>包名称</w:t>
            </w:r>
          </w:p>
        </w:tc>
        <w:tc>
          <w:tcPr>
            <w:tcW w:w="2181" w:type="dxa"/>
            <w:noWrap w:val="0"/>
            <w:vAlign w:val="center"/>
          </w:tcPr>
          <w:p w14:paraId="618650AB">
            <w:pPr>
              <w:spacing w:line="440" w:lineRule="exact"/>
              <w:jc w:val="center"/>
              <w:rPr>
                <w:rFonts w:hint="eastAsia" w:ascii="宋体" w:hAnsi="宋体" w:cs="宋体"/>
                <w:bCs/>
                <w:color w:val="000000"/>
                <w:kern w:val="0"/>
                <w:highlight w:val="none"/>
                <w:lang w:bidi="ar"/>
              </w:rPr>
            </w:pPr>
            <w:r>
              <w:rPr>
                <w:rFonts w:hint="eastAsia" w:ascii="宋体" w:hAnsi="宋体" w:cs="宋体"/>
                <w:bCs/>
                <w:color w:val="000000"/>
                <w:kern w:val="0"/>
                <w:highlight w:val="none"/>
                <w:lang w:bidi="ar"/>
              </w:rPr>
              <w:t>包预算（元）</w:t>
            </w:r>
          </w:p>
        </w:tc>
        <w:tc>
          <w:tcPr>
            <w:tcW w:w="2218" w:type="dxa"/>
            <w:noWrap w:val="0"/>
            <w:vAlign w:val="center"/>
          </w:tcPr>
          <w:p w14:paraId="68C2B919">
            <w:pPr>
              <w:spacing w:line="440" w:lineRule="exact"/>
              <w:jc w:val="center"/>
              <w:rPr>
                <w:rFonts w:hint="eastAsia" w:ascii="宋体" w:hAnsi="宋体" w:cs="宋体"/>
                <w:bCs/>
                <w:color w:val="000000"/>
                <w:kern w:val="0"/>
                <w:highlight w:val="none"/>
                <w:lang w:bidi="ar"/>
              </w:rPr>
            </w:pPr>
            <w:r>
              <w:rPr>
                <w:rFonts w:hint="eastAsia" w:ascii="宋体" w:hAnsi="宋体" w:cs="宋体"/>
                <w:bCs/>
                <w:color w:val="000000"/>
                <w:kern w:val="0"/>
                <w:highlight w:val="none"/>
                <w:lang w:bidi="ar"/>
              </w:rPr>
              <w:t>包最高限价（元）</w:t>
            </w:r>
          </w:p>
        </w:tc>
      </w:tr>
      <w:tr w14:paraId="6C27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1013" w:type="dxa"/>
            <w:noWrap w:val="0"/>
            <w:vAlign w:val="center"/>
          </w:tcPr>
          <w:p w14:paraId="799A830A">
            <w:pPr>
              <w:spacing w:line="440" w:lineRule="exact"/>
              <w:jc w:val="center"/>
              <w:rPr>
                <w:rFonts w:hint="eastAsia" w:ascii="宋体" w:hAnsi="宋体" w:cs="宋体"/>
                <w:bCs/>
                <w:color w:val="000000"/>
                <w:kern w:val="0"/>
                <w:highlight w:val="none"/>
                <w:lang w:bidi="ar"/>
              </w:rPr>
            </w:pPr>
            <w:r>
              <w:rPr>
                <w:rFonts w:hint="eastAsia" w:ascii="宋体" w:hAnsi="宋体" w:cs="宋体"/>
                <w:bCs/>
                <w:color w:val="000000"/>
                <w:kern w:val="0"/>
                <w:highlight w:val="none"/>
                <w:lang w:bidi="ar"/>
              </w:rPr>
              <w:t>1</w:t>
            </w:r>
          </w:p>
        </w:tc>
        <w:tc>
          <w:tcPr>
            <w:tcW w:w="2086" w:type="dxa"/>
            <w:noWrap w:val="0"/>
            <w:vAlign w:val="center"/>
          </w:tcPr>
          <w:p w14:paraId="671B04CD">
            <w:pPr>
              <w:spacing w:line="440" w:lineRule="exact"/>
              <w:jc w:val="center"/>
              <w:rPr>
                <w:rFonts w:hint="eastAsia" w:ascii="宋体" w:hAnsi="宋体" w:cs="宋体"/>
                <w:bCs/>
                <w:color w:val="000000"/>
                <w:kern w:val="0"/>
                <w:highlight w:val="none"/>
                <w:lang w:bidi="ar"/>
              </w:rPr>
            </w:pPr>
            <w:r>
              <w:rPr>
                <w:rFonts w:hint="eastAsia" w:ascii="宋体" w:hAnsi="宋体" w:cs="宋体"/>
                <w:bCs/>
                <w:color w:val="000000"/>
                <w:kern w:val="0"/>
                <w:highlight w:val="none"/>
                <w:lang w:bidi="ar"/>
              </w:rPr>
              <w:t>平公资采2026639号-1</w:t>
            </w:r>
          </w:p>
        </w:tc>
        <w:tc>
          <w:tcPr>
            <w:tcW w:w="2259" w:type="dxa"/>
            <w:noWrap w:val="0"/>
            <w:vAlign w:val="center"/>
          </w:tcPr>
          <w:p w14:paraId="787D7CC8">
            <w:pPr>
              <w:spacing w:line="440" w:lineRule="exact"/>
              <w:jc w:val="center"/>
              <w:rPr>
                <w:rFonts w:hint="eastAsia" w:ascii="宋体" w:hAnsi="宋体" w:eastAsia="宋体" w:cs="宋体"/>
                <w:bCs/>
                <w:color w:val="000000"/>
                <w:kern w:val="0"/>
                <w:highlight w:val="none"/>
                <w:lang w:eastAsia="zh-CN" w:bidi="ar"/>
              </w:rPr>
            </w:pPr>
            <w:r>
              <w:rPr>
                <w:rFonts w:hint="eastAsia" w:ascii="宋体" w:hAnsi="宋体" w:cs="宋体"/>
                <w:bCs/>
                <w:color w:val="000000"/>
                <w:kern w:val="0"/>
                <w:highlight w:val="none"/>
                <w:lang w:eastAsia="zh-CN" w:bidi="ar"/>
              </w:rPr>
              <w:t>平顶山市工业学校新媒体营销实训系统及实训室建设项目</w:t>
            </w:r>
          </w:p>
        </w:tc>
        <w:tc>
          <w:tcPr>
            <w:tcW w:w="2181" w:type="dxa"/>
            <w:noWrap w:val="0"/>
            <w:vAlign w:val="center"/>
          </w:tcPr>
          <w:p w14:paraId="70B4539D">
            <w:pPr>
              <w:spacing w:line="440" w:lineRule="exact"/>
              <w:jc w:val="center"/>
              <w:rPr>
                <w:rFonts w:hint="eastAsia" w:ascii="宋体" w:hAnsi="宋体" w:eastAsia="宋体" w:cs="宋体"/>
                <w:bCs/>
                <w:color w:val="000000"/>
                <w:kern w:val="0"/>
                <w:highlight w:val="none"/>
                <w:lang w:eastAsia="zh-CN" w:bidi="ar"/>
              </w:rPr>
            </w:pPr>
            <w:r>
              <w:rPr>
                <w:rFonts w:hint="eastAsia" w:ascii="宋体" w:hAnsi="宋体" w:cs="宋体"/>
                <w:bCs/>
                <w:color w:val="000000"/>
                <w:kern w:val="0"/>
                <w:highlight w:val="none"/>
                <w:lang w:eastAsia="zh-CN" w:bidi="ar"/>
              </w:rPr>
              <w:t>517350</w:t>
            </w:r>
          </w:p>
        </w:tc>
        <w:tc>
          <w:tcPr>
            <w:tcW w:w="2218" w:type="dxa"/>
            <w:noWrap w:val="0"/>
            <w:vAlign w:val="center"/>
          </w:tcPr>
          <w:p w14:paraId="4D78E8A9">
            <w:pPr>
              <w:spacing w:line="440" w:lineRule="exact"/>
              <w:jc w:val="center"/>
              <w:rPr>
                <w:rFonts w:hint="eastAsia" w:ascii="宋体" w:hAnsi="宋体" w:eastAsia="宋体" w:cs="宋体"/>
                <w:bCs/>
                <w:color w:val="000000"/>
                <w:kern w:val="0"/>
                <w:highlight w:val="none"/>
                <w:lang w:eastAsia="zh-CN" w:bidi="ar"/>
              </w:rPr>
            </w:pPr>
            <w:r>
              <w:rPr>
                <w:rFonts w:hint="eastAsia" w:ascii="宋体" w:hAnsi="宋体" w:cs="宋体"/>
                <w:bCs/>
                <w:color w:val="000000"/>
                <w:kern w:val="0"/>
                <w:highlight w:val="none"/>
                <w:lang w:eastAsia="zh-CN" w:bidi="ar"/>
              </w:rPr>
              <w:t>517350</w:t>
            </w:r>
          </w:p>
        </w:tc>
      </w:tr>
    </w:tbl>
    <w:p w14:paraId="27E2B367">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5</w:t>
      </w:r>
      <w:r>
        <w:rPr>
          <w:rFonts w:hint="eastAsia" w:ascii="宋体" w:hAnsi="宋体" w:cs="宋体"/>
          <w:bCs/>
          <w:color w:val="000000"/>
          <w:kern w:val="0"/>
          <w:sz w:val="24"/>
          <w:szCs w:val="24"/>
          <w:highlight w:val="none"/>
          <w:lang w:val="en-US" w:eastAsia="zh-CN" w:bidi="ar"/>
        </w:rPr>
        <w:t>.</w:t>
      </w:r>
      <w:r>
        <w:rPr>
          <w:rFonts w:hint="eastAsia" w:ascii="宋体" w:hAnsi="宋体" w:cs="宋体"/>
          <w:bCs/>
          <w:color w:val="000000"/>
          <w:kern w:val="0"/>
          <w:sz w:val="24"/>
          <w:szCs w:val="24"/>
          <w:highlight w:val="none"/>
          <w:lang w:bidi="ar"/>
        </w:rPr>
        <w:t>采购需求（包括但不限于标的的名称、数量、简要技术需求或</w:t>
      </w:r>
      <w:r>
        <w:rPr>
          <w:rFonts w:hint="eastAsia" w:ascii="宋体" w:hAnsi="宋体" w:cs="宋体"/>
          <w:bCs/>
          <w:color w:val="000000"/>
          <w:kern w:val="0"/>
          <w:sz w:val="24"/>
          <w:szCs w:val="24"/>
          <w:highlight w:val="none"/>
          <w:lang w:eastAsia="zh-CN" w:bidi="ar"/>
        </w:rPr>
        <w:t>服务</w:t>
      </w:r>
      <w:r>
        <w:rPr>
          <w:rFonts w:hint="eastAsia" w:ascii="宋体" w:hAnsi="宋体" w:cs="宋体"/>
          <w:bCs/>
          <w:color w:val="000000"/>
          <w:kern w:val="0"/>
          <w:sz w:val="24"/>
          <w:szCs w:val="24"/>
          <w:highlight w:val="none"/>
          <w:lang w:bidi="ar"/>
        </w:rPr>
        <w:t>要求等）</w:t>
      </w:r>
    </w:p>
    <w:p w14:paraId="76194A83">
      <w:pPr>
        <w:spacing w:line="440" w:lineRule="exact"/>
        <w:ind w:firstLine="480" w:firstLineChars="200"/>
        <w:rPr>
          <w:rFonts w:hint="eastAsia" w:ascii="宋体" w:hAnsi="宋体" w:cs="宋体"/>
          <w:color w:val="000000"/>
          <w:sz w:val="24"/>
          <w:szCs w:val="24"/>
          <w:highlight w:val="none"/>
          <w:lang w:bidi="ar"/>
        </w:rPr>
      </w:pPr>
      <w:r>
        <w:rPr>
          <w:rFonts w:hint="eastAsia" w:ascii="宋体" w:hAnsi="宋体" w:cs="宋体"/>
          <w:color w:val="000000"/>
          <w:sz w:val="24"/>
          <w:szCs w:val="24"/>
          <w:highlight w:val="none"/>
          <w:lang w:bidi="ar"/>
        </w:rPr>
        <w:t>5.1采购内容：</w:t>
      </w:r>
      <w:r>
        <w:rPr>
          <w:rFonts w:hint="eastAsia" w:ascii="宋体" w:hAnsi="宋体" w:cs="宋体"/>
          <w:color w:val="000000"/>
          <w:sz w:val="24"/>
          <w:szCs w:val="24"/>
          <w:highlight w:val="none"/>
          <w:lang w:val="en-US" w:eastAsia="zh-CN" w:bidi="ar"/>
        </w:rPr>
        <w:t>该项目建设将解决电子商务实训教学问题，满足该专业在校学生的实操练习，让学生掌握必备的实操技能；还可用于开展电子商务运营相关竞赛活动，提升学校竞赛水平</w:t>
      </w:r>
      <w:r>
        <w:rPr>
          <w:rFonts w:hint="eastAsia" w:ascii="宋体" w:hAnsi="宋体" w:cs="宋体"/>
          <w:color w:val="000000"/>
          <w:sz w:val="24"/>
          <w:szCs w:val="24"/>
          <w:highlight w:val="none"/>
          <w:lang w:eastAsia="zh-CN" w:bidi="ar"/>
        </w:rPr>
        <w:t>；</w:t>
      </w:r>
      <w:r>
        <w:rPr>
          <w:rFonts w:hint="eastAsia" w:ascii="宋体" w:hAnsi="宋体" w:cs="宋体"/>
          <w:color w:val="000000"/>
          <w:sz w:val="24"/>
          <w:szCs w:val="24"/>
          <w:highlight w:val="none"/>
          <w:lang w:bidi="ar"/>
        </w:rPr>
        <w:t>具体内容详见招标文件。</w:t>
      </w:r>
    </w:p>
    <w:p w14:paraId="68417901">
      <w:pPr>
        <w:spacing w:line="440" w:lineRule="exact"/>
        <w:ind w:firstLine="480" w:firstLineChars="200"/>
        <w:rPr>
          <w:rFonts w:hint="eastAsia" w:ascii="宋体" w:hAnsi="宋体" w:cs="宋体"/>
          <w:color w:val="000000"/>
          <w:sz w:val="24"/>
          <w:szCs w:val="24"/>
          <w:highlight w:val="none"/>
          <w:lang w:bidi="ar"/>
        </w:rPr>
      </w:pPr>
      <w:r>
        <w:rPr>
          <w:rFonts w:hint="eastAsia" w:ascii="宋体" w:hAnsi="宋体" w:cs="宋体"/>
          <w:color w:val="000000"/>
          <w:sz w:val="24"/>
          <w:szCs w:val="24"/>
          <w:highlight w:val="none"/>
          <w:lang w:bidi="ar"/>
        </w:rPr>
        <w:t>5.2资金来源：财政资金，已落实；</w:t>
      </w:r>
    </w:p>
    <w:p w14:paraId="23258EC4">
      <w:pPr>
        <w:spacing w:line="44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lang w:bidi="ar"/>
        </w:rPr>
        <w:t>5.3</w:t>
      </w:r>
      <w:r>
        <w:rPr>
          <w:rFonts w:hint="eastAsia" w:ascii="宋体" w:hAnsi="宋体" w:cs="宋体"/>
          <w:color w:val="000000"/>
          <w:sz w:val="24"/>
          <w:szCs w:val="24"/>
          <w:highlight w:val="none"/>
        </w:rPr>
        <w:t>交货及安装期</w:t>
      </w:r>
      <w:r>
        <w:rPr>
          <w:rFonts w:hint="eastAsia" w:ascii="宋体" w:hAnsi="宋体" w:cs="宋体"/>
          <w:color w:val="000000"/>
          <w:sz w:val="24"/>
          <w:szCs w:val="24"/>
          <w:highlight w:val="none"/>
        </w:rPr>
        <w:t>：合同签订之日起</w:t>
      </w:r>
      <w:r>
        <w:rPr>
          <w:rFonts w:hint="eastAsia" w:ascii="宋体" w:hAnsi="宋体" w:cs="宋体"/>
          <w:color w:val="000000"/>
          <w:sz w:val="24"/>
          <w:szCs w:val="24"/>
          <w:highlight w:val="none"/>
          <w:lang w:val="en-US" w:eastAsia="zh-CN"/>
        </w:rPr>
        <w:t>20</w:t>
      </w:r>
      <w:r>
        <w:rPr>
          <w:rFonts w:hint="eastAsia" w:ascii="宋体" w:hAnsi="宋体" w:cs="宋体"/>
          <w:color w:val="000000"/>
          <w:sz w:val="24"/>
          <w:szCs w:val="24"/>
          <w:highlight w:val="none"/>
          <w:lang w:eastAsia="zh-CN"/>
        </w:rPr>
        <w:t>日历天</w:t>
      </w:r>
      <w:r>
        <w:rPr>
          <w:rFonts w:hint="eastAsia" w:ascii="宋体" w:hAnsi="宋体" w:cs="宋体"/>
          <w:color w:val="000000"/>
          <w:sz w:val="24"/>
          <w:szCs w:val="24"/>
          <w:highlight w:val="none"/>
        </w:rPr>
        <w:t>内安装调试完毕、交付使用；</w:t>
      </w:r>
    </w:p>
    <w:p w14:paraId="0DABF9F7">
      <w:pPr>
        <w:spacing w:line="440" w:lineRule="exact"/>
        <w:ind w:firstLine="480" w:firstLineChars="200"/>
        <w:rPr>
          <w:rFonts w:hint="eastAsia" w:ascii="宋体" w:hAnsi="宋体" w:cs="宋体"/>
          <w:color w:val="000000"/>
          <w:sz w:val="24"/>
          <w:szCs w:val="24"/>
          <w:highlight w:val="none"/>
          <w:lang w:bidi="ar"/>
        </w:rPr>
      </w:pPr>
      <w:r>
        <w:rPr>
          <w:rFonts w:hint="eastAsia" w:ascii="宋体" w:hAnsi="宋体" w:cs="宋体"/>
          <w:color w:val="000000"/>
          <w:sz w:val="24"/>
          <w:szCs w:val="24"/>
          <w:highlight w:val="none"/>
          <w:lang w:bidi="ar"/>
        </w:rPr>
        <w:t>5.4交货及安装地点：采购人指定地点；</w:t>
      </w:r>
    </w:p>
    <w:p w14:paraId="4846DBD4">
      <w:pPr>
        <w:spacing w:line="44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lang w:bidi="ar"/>
        </w:rPr>
        <w:t>5.5质量要求：合格；</w:t>
      </w:r>
    </w:p>
    <w:p w14:paraId="71C4D184">
      <w:pPr>
        <w:spacing w:line="440" w:lineRule="exact"/>
        <w:ind w:firstLine="480" w:firstLineChars="200"/>
        <w:jc w:val="left"/>
        <w:rPr>
          <w:rFonts w:hint="eastAsia" w:ascii="宋体" w:hAnsi="宋体" w:eastAsia="宋体" w:cs="宋体"/>
          <w:color w:val="000000"/>
          <w:sz w:val="24"/>
          <w:szCs w:val="24"/>
          <w:highlight w:val="none"/>
          <w:lang w:val="en-US" w:eastAsia="zh-CN" w:bidi="ar"/>
        </w:rPr>
      </w:pPr>
      <w:r>
        <w:rPr>
          <w:rFonts w:hint="eastAsia" w:ascii="宋体" w:hAnsi="宋体" w:cs="宋体"/>
          <w:color w:val="000000"/>
          <w:sz w:val="24"/>
          <w:szCs w:val="24"/>
          <w:highlight w:val="none"/>
          <w:lang w:bidi="ar"/>
        </w:rPr>
        <w:t>5.6质保期</w:t>
      </w:r>
      <w:r>
        <w:rPr>
          <w:rFonts w:hint="eastAsia" w:ascii="宋体" w:hAnsi="宋体" w:cs="宋体"/>
          <w:color w:val="000000"/>
          <w:sz w:val="24"/>
          <w:szCs w:val="24"/>
          <w:highlight w:val="none"/>
          <w:lang w:bidi="ar"/>
        </w:rPr>
        <w:t>：</w:t>
      </w:r>
      <w:r>
        <w:rPr>
          <w:rFonts w:hint="eastAsia" w:ascii="宋体" w:hAnsi="宋体" w:cs="宋体"/>
          <w:color w:val="000000"/>
          <w:sz w:val="24"/>
          <w:szCs w:val="24"/>
          <w:highlight w:val="none"/>
          <w:lang w:eastAsia="zh-CN" w:bidi="ar"/>
        </w:rPr>
        <w:t>3年（其中空调质保按照国家或行业标准执行），质保期自设备安装验收合格之日起计算；</w:t>
      </w:r>
    </w:p>
    <w:p w14:paraId="34E9F69A">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6</w:t>
      </w:r>
      <w:r>
        <w:rPr>
          <w:rFonts w:hint="eastAsia" w:ascii="宋体" w:hAnsi="宋体" w:cs="宋体"/>
          <w:bCs/>
          <w:color w:val="000000"/>
          <w:kern w:val="0"/>
          <w:sz w:val="24"/>
          <w:szCs w:val="24"/>
          <w:highlight w:val="none"/>
          <w:lang w:val="en-US" w:eastAsia="zh-CN" w:bidi="ar"/>
        </w:rPr>
        <w:t>.</w:t>
      </w:r>
      <w:r>
        <w:rPr>
          <w:rFonts w:hint="eastAsia" w:ascii="宋体" w:hAnsi="宋体" w:cs="宋体"/>
          <w:bCs/>
          <w:color w:val="000000"/>
          <w:kern w:val="0"/>
          <w:sz w:val="24"/>
          <w:szCs w:val="24"/>
          <w:highlight w:val="none"/>
          <w:lang w:bidi="ar"/>
        </w:rPr>
        <w:t>合同履行期限：同</w:t>
      </w:r>
      <w:r>
        <w:rPr>
          <w:rFonts w:hint="eastAsia" w:ascii="宋体" w:hAnsi="宋体" w:cs="宋体"/>
          <w:color w:val="000000"/>
          <w:sz w:val="24"/>
          <w:szCs w:val="24"/>
          <w:highlight w:val="none"/>
        </w:rPr>
        <w:t>交货及安装期</w:t>
      </w:r>
      <w:r>
        <w:rPr>
          <w:rFonts w:hint="eastAsia" w:ascii="宋体" w:hAnsi="宋体" w:cs="宋体"/>
          <w:color w:val="000000"/>
          <w:sz w:val="24"/>
          <w:szCs w:val="24"/>
          <w:highlight w:val="none"/>
          <w:lang w:bidi="ar"/>
        </w:rPr>
        <w:t>；</w:t>
      </w:r>
    </w:p>
    <w:p w14:paraId="03D0CFC4">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7</w:t>
      </w:r>
      <w:r>
        <w:rPr>
          <w:rFonts w:hint="eastAsia" w:ascii="宋体" w:hAnsi="宋体" w:cs="宋体"/>
          <w:bCs/>
          <w:color w:val="000000"/>
          <w:kern w:val="0"/>
          <w:sz w:val="24"/>
          <w:szCs w:val="24"/>
          <w:highlight w:val="none"/>
          <w:lang w:val="en-US" w:eastAsia="zh-CN" w:bidi="ar"/>
        </w:rPr>
        <w:t>.</w:t>
      </w:r>
      <w:r>
        <w:rPr>
          <w:rFonts w:hint="eastAsia" w:ascii="宋体" w:hAnsi="宋体" w:cs="宋体"/>
          <w:bCs/>
          <w:color w:val="000000"/>
          <w:kern w:val="0"/>
          <w:sz w:val="24"/>
          <w:szCs w:val="24"/>
          <w:highlight w:val="none"/>
          <w:lang w:bidi="ar"/>
        </w:rPr>
        <w:t>本项目是否接受联合体投标：否</w:t>
      </w:r>
    </w:p>
    <w:p w14:paraId="2E9CABEF">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8</w:t>
      </w:r>
      <w:r>
        <w:rPr>
          <w:rFonts w:hint="eastAsia" w:ascii="宋体" w:hAnsi="宋体" w:cs="宋体"/>
          <w:bCs/>
          <w:color w:val="000000"/>
          <w:kern w:val="0"/>
          <w:sz w:val="24"/>
          <w:szCs w:val="24"/>
          <w:highlight w:val="none"/>
          <w:lang w:val="en-US" w:eastAsia="zh-CN" w:bidi="ar"/>
        </w:rPr>
        <w:t>.</w:t>
      </w:r>
      <w:r>
        <w:rPr>
          <w:rFonts w:hint="eastAsia" w:ascii="宋体" w:hAnsi="宋体" w:cs="宋体"/>
          <w:bCs/>
          <w:color w:val="000000"/>
          <w:kern w:val="0"/>
          <w:sz w:val="24"/>
          <w:szCs w:val="24"/>
          <w:highlight w:val="none"/>
          <w:lang w:bidi="ar"/>
        </w:rPr>
        <w:t>是否接受进口产品：否</w:t>
      </w:r>
    </w:p>
    <w:p w14:paraId="5D2B3226">
      <w:pPr>
        <w:spacing w:line="440" w:lineRule="exact"/>
        <w:ind w:firstLine="480" w:firstLineChars="200"/>
        <w:jc w:val="left"/>
        <w:rPr>
          <w:rFonts w:hint="eastAsia" w:ascii="宋体" w:hAnsi="宋体" w:eastAsia="宋体" w:cs="宋体"/>
          <w:bCs/>
          <w:color w:val="000000"/>
          <w:kern w:val="0"/>
          <w:sz w:val="24"/>
          <w:szCs w:val="24"/>
          <w:highlight w:val="none"/>
          <w:lang w:eastAsia="zh-CN" w:bidi="ar"/>
        </w:rPr>
      </w:pPr>
      <w:r>
        <w:rPr>
          <w:rFonts w:hint="eastAsia" w:ascii="宋体" w:hAnsi="宋体" w:cs="宋体"/>
          <w:bCs/>
          <w:color w:val="000000"/>
          <w:kern w:val="0"/>
          <w:sz w:val="24"/>
          <w:szCs w:val="24"/>
          <w:highlight w:val="none"/>
          <w:lang w:bidi="ar"/>
        </w:rPr>
        <w:t>9</w:t>
      </w:r>
      <w:r>
        <w:rPr>
          <w:rFonts w:hint="eastAsia" w:ascii="宋体" w:hAnsi="宋体" w:cs="宋体"/>
          <w:bCs/>
          <w:color w:val="000000"/>
          <w:kern w:val="0"/>
          <w:sz w:val="24"/>
          <w:szCs w:val="24"/>
          <w:highlight w:val="none"/>
          <w:lang w:val="en-US" w:eastAsia="zh-CN" w:bidi="ar"/>
        </w:rPr>
        <w:t>.</w:t>
      </w:r>
      <w:r>
        <w:rPr>
          <w:rFonts w:hint="eastAsia" w:ascii="宋体" w:hAnsi="宋体" w:cs="宋体"/>
          <w:bCs/>
          <w:color w:val="000000"/>
          <w:kern w:val="0"/>
          <w:sz w:val="24"/>
          <w:szCs w:val="24"/>
          <w:highlight w:val="none"/>
          <w:lang w:bidi="ar"/>
        </w:rPr>
        <w:t>是否专门面向中小企业：</w:t>
      </w:r>
      <w:r>
        <w:rPr>
          <w:rFonts w:hint="eastAsia" w:ascii="宋体" w:hAnsi="宋体" w:cs="宋体"/>
          <w:bCs/>
          <w:color w:val="000000"/>
          <w:kern w:val="0"/>
          <w:sz w:val="24"/>
          <w:szCs w:val="24"/>
          <w:highlight w:val="none"/>
          <w:lang w:eastAsia="zh-CN" w:bidi="ar"/>
        </w:rPr>
        <w:t>否</w:t>
      </w:r>
    </w:p>
    <w:p w14:paraId="4878EFF9">
      <w:pPr>
        <w:spacing w:line="440" w:lineRule="exact"/>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二、申请人资格要求：</w:t>
      </w:r>
    </w:p>
    <w:p w14:paraId="2395CB12">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1</w:t>
      </w:r>
      <w:r>
        <w:rPr>
          <w:rFonts w:hint="eastAsia" w:ascii="宋体" w:hAnsi="宋体" w:cs="宋体"/>
          <w:bCs/>
          <w:color w:val="000000"/>
          <w:kern w:val="0"/>
          <w:sz w:val="24"/>
          <w:szCs w:val="24"/>
          <w:highlight w:val="none"/>
          <w:lang w:val="en-US" w:eastAsia="zh-CN" w:bidi="ar"/>
        </w:rPr>
        <w:t>.</w:t>
      </w:r>
      <w:r>
        <w:rPr>
          <w:rFonts w:hint="eastAsia" w:ascii="宋体" w:hAnsi="宋体" w:cs="宋体"/>
          <w:bCs/>
          <w:color w:val="000000"/>
          <w:kern w:val="0"/>
          <w:sz w:val="24"/>
          <w:szCs w:val="24"/>
          <w:highlight w:val="none"/>
          <w:lang w:bidi="ar"/>
        </w:rPr>
        <w:t>满足《中华人民共和国政府采购法》第二十二条规定；</w:t>
      </w:r>
    </w:p>
    <w:p w14:paraId="58CCED23">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2</w:t>
      </w:r>
      <w:r>
        <w:rPr>
          <w:rFonts w:hint="eastAsia" w:ascii="宋体" w:hAnsi="宋体" w:cs="宋体"/>
          <w:bCs/>
          <w:color w:val="000000"/>
          <w:kern w:val="0"/>
          <w:sz w:val="24"/>
          <w:szCs w:val="24"/>
          <w:highlight w:val="none"/>
          <w:lang w:val="en-US" w:eastAsia="zh-CN" w:bidi="ar"/>
        </w:rPr>
        <w:t>.</w:t>
      </w:r>
      <w:r>
        <w:rPr>
          <w:rFonts w:hint="eastAsia" w:ascii="宋体" w:hAnsi="宋体" w:cs="宋体"/>
          <w:bCs/>
          <w:color w:val="000000"/>
          <w:kern w:val="0"/>
          <w:sz w:val="24"/>
          <w:szCs w:val="24"/>
          <w:highlight w:val="none"/>
          <w:lang w:bidi="ar"/>
        </w:rPr>
        <w:t>落实政府采购政策满足的资格要求：</w:t>
      </w:r>
      <w:r>
        <w:rPr>
          <w:rFonts w:hint="eastAsia" w:ascii="宋体" w:hAnsi="宋体" w:cs="宋体"/>
          <w:bCs/>
          <w:color w:val="000000"/>
          <w:kern w:val="0"/>
          <w:sz w:val="24"/>
          <w:szCs w:val="24"/>
          <w:highlight w:val="none"/>
          <w:lang w:eastAsia="zh-CN" w:bidi="ar"/>
        </w:rPr>
        <w:t>本项目非专门面向中小企业采购。供应商为中小微企业或监狱企业或残疾人福利性单位，落实中小企业价格评审优惠政策；中小企业划型标准请依据工信部联企业 （2011） 300 号文件之规定；</w:t>
      </w:r>
    </w:p>
    <w:p w14:paraId="03DFF790">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3</w:t>
      </w:r>
      <w:r>
        <w:rPr>
          <w:rFonts w:hint="eastAsia" w:ascii="宋体" w:hAnsi="宋体" w:cs="宋体"/>
          <w:bCs/>
          <w:color w:val="000000"/>
          <w:kern w:val="0"/>
          <w:sz w:val="24"/>
          <w:szCs w:val="24"/>
          <w:highlight w:val="none"/>
          <w:lang w:val="en-US" w:eastAsia="zh-CN" w:bidi="ar"/>
        </w:rPr>
        <w:t>.</w:t>
      </w:r>
      <w:r>
        <w:rPr>
          <w:rFonts w:hint="eastAsia" w:ascii="宋体" w:hAnsi="宋体" w:cs="宋体"/>
          <w:bCs/>
          <w:color w:val="000000"/>
          <w:kern w:val="0"/>
          <w:sz w:val="24"/>
          <w:szCs w:val="24"/>
          <w:highlight w:val="none"/>
          <w:lang w:bidi="ar"/>
        </w:rPr>
        <w:t>本项目的特定资格要求</w:t>
      </w:r>
    </w:p>
    <w:p w14:paraId="6657AFA1">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3.1供应商具有独立法人资格，（持有有效的营业执照、税务登记证、组织机构代码证等或三证合一营业执照，也可提供电子营业执照）；</w:t>
      </w:r>
    </w:p>
    <w:p w14:paraId="2FC5E095">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3.2供应商具有良好的商业信誉和健全的财务会计制度（供应商自行承诺，格式自拟）；</w:t>
      </w:r>
    </w:p>
    <w:p w14:paraId="44AD6B73">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3.3供应商具有履行合同所必需的设备和专业技术能力（供应商自行承诺，格式自拟）；</w:t>
      </w:r>
    </w:p>
    <w:p w14:paraId="3356E990">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3.4供应商具有依法缴纳税收和社会保障资金的良好记录（供应商自行承诺，格式自拟）；</w:t>
      </w:r>
    </w:p>
    <w:p w14:paraId="111CF9BF">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3.5参加政府采购活动近三年内，在经营活动中没有重大的违法记录和质量安全事故（供应商自行承诺，格式自拟）；</w:t>
      </w:r>
    </w:p>
    <w:p w14:paraId="1AA48DD6">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3.6供应商须提供“中国执行信息公开网”网站的“失信被执行人”、“信用中国”网站的“重大税收违法失信主体”、“中国政府采购”网站的“政府采购严重违法失信行为记录名单”查询结果页面，若未按要求提供或有不良记录，资格审查不予通过（执行财库【2016】125号文）；</w:t>
      </w:r>
    </w:p>
    <w:p w14:paraId="324CA24E">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3.7</w:t>
      </w:r>
      <w:r>
        <w:rPr>
          <w:rFonts w:hint="eastAsia" w:ascii="宋体" w:hAnsi="宋体" w:eastAsia="宋体" w:cs="宋体"/>
          <w:sz w:val="24"/>
          <w:highlight w:val="none"/>
          <w:shd w:val="clear" w:color="auto" w:fill="FFFFFF"/>
        </w:rPr>
        <w:t>单位负责人为同一人或者存在控股、管理关系的不同单位，不得同时参加本项目的投标【提供“国家企业信用信息公示系统”中公示的公司信息、股东（或投资人）信息的截图】；</w:t>
      </w:r>
    </w:p>
    <w:p w14:paraId="5D43AA1D">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3.8本项目不接受联合体投标，资格审查方式为资格后审。</w:t>
      </w:r>
    </w:p>
    <w:p w14:paraId="487492BA">
      <w:pPr>
        <w:spacing w:line="440" w:lineRule="exact"/>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三、获取</w:t>
      </w:r>
      <w:r>
        <w:rPr>
          <w:rFonts w:hint="eastAsia" w:ascii="宋体" w:hAnsi="宋体" w:cs="宋体"/>
          <w:b/>
          <w:bCs/>
          <w:color w:val="000000"/>
          <w:sz w:val="24"/>
          <w:szCs w:val="24"/>
          <w:highlight w:val="none"/>
          <w:lang w:eastAsia="zh-CN"/>
        </w:rPr>
        <w:t>招标</w:t>
      </w:r>
      <w:r>
        <w:rPr>
          <w:rFonts w:hint="eastAsia" w:ascii="宋体" w:hAnsi="宋体" w:cs="宋体"/>
          <w:b/>
          <w:bCs/>
          <w:color w:val="000000"/>
          <w:sz w:val="24"/>
          <w:szCs w:val="24"/>
          <w:highlight w:val="none"/>
        </w:rPr>
        <w:t>文件</w:t>
      </w:r>
    </w:p>
    <w:p w14:paraId="14F27F4D">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1</w:t>
      </w:r>
      <w:r>
        <w:rPr>
          <w:rFonts w:hint="eastAsia" w:ascii="宋体" w:hAnsi="宋体" w:cs="宋体"/>
          <w:bCs/>
          <w:color w:val="000000"/>
          <w:kern w:val="0"/>
          <w:sz w:val="24"/>
          <w:szCs w:val="24"/>
          <w:highlight w:val="none"/>
          <w:lang w:val="en-US" w:eastAsia="zh-CN" w:bidi="ar"/>
        </w:rPr>
        <w:t>.</w:t>
      </w:r>
      <w:r>
        <w:rPr>
          <w:rFonts w:hint="eastAsia" w:ascii="宋体" w:hAnsi="宋体" w:cs="宋体"/>
          <w:bCs/>
          <w:color w:val="000000"/>
          <w:kern w:val="0"/>
          <w:sz w:val="24"/>
          <w:szCs w:val="24"/>
          <w:highlight w:val="none"/>
          <w:lang w:bidi="ar"/>
        </w:rPr>
        <w:t>时间：</w:t>
      </w:r>
      <w:r>
        <w:rPr>
          <w:rFonts w:hint="eastAsia" w:ascii="宋体" w:hAnsi="宋体" w:cs="宋体"/>
          <w:bCs/>
          <w:color w:val="000000"/>
          <w:kern w:val="0"/>
          <w:sz w:val="24"/>
          <w:szCs w:val="24"/>
          <w:highlight w:val="none"/>
          <w:lang w:eastAsia="zh-CN" w:bidi="ar"/>
        </w:rPr>
        <w:t>2026年</w:t>
      </w:r>
      <w:r>
        <w:rPr>
          <w:rFonts w:hint="eastAsia" w:ascii="宋体" w:hAnsi="宋体" w:cs="宋体"/>
          <w:bCs/>
          <w:color w:val="000000"/>
          <w:kern w:val="0"/>
          <w:sz w:val="24"/>
          <w:szCs w:val="24"/>
          <w:highlight w:val="none"/>
          <w:lang w:val="en-US" w:eastAsia="zh-CN" w:bidi="ar"/>
        </w:rPr>
        <w:t>07</w:t>
      </w:r>
      <w:r>
        <w:rPr>
          <w:rFonts w:hint="eastAsia" w:ascii="宋体" w:hAnsi="宋体" w:cs="宋体"/>
          <w:bCs/>
          <w:color w:val="000000"/>
          <w:kern w:val="0"/>
          <w:sz w:val="24"/>
          <w:szCs w:val="24"/>
          <w:highlight w:val="none"/>
          <w:lang w:bidi="ar"/>
        </w:rPr>
        <w:t>月</w:t>
      </w:r>
      <w:r>
        <w:rPr>
          <w:rFonts w:hint="eastAsia" w:ascii="宋体" w:hAnsi="宋体" w:cs="宋体"/>
          <w:bCs/>
          <w:color w:val="000000"/>
          <w:kern w:val="0"/>
          <w:sz w:val="24"/>
          <w:szCs w:val="24"/>
          <w:highlight w:val="none"/>
          <w:lang w:val="en-US" w:eastAsia="zh-CN" w:bidi="ar"/>
        </w:rPr>
        <w:t>09</w:t>
      </w:r>
      <w:r>
        <w:rPr>
          <w:rFonts w:hint="eastAsia" w:ascii="宋体" w:hAnsi="宋体" w:cs="宋体"/>
          <w:bCs/>
          <w:color w:val="000000"/>
          <w:kern w:val="0"/>
          <w:sz w:val="24"/>
          <w:szCs w:val="24"/>
          <w:highlight w:val="none"/>
          <w:lang w:bidi="ar"/>
        </w:rPr>
        <w:t>日至</w:t>
      </w:r>
      <w:r>
        <w:rPr>
          <w:rFonts w:hint="eastAsia" w:ascii="宋体" w:hAnsi="宋体" w:cs="宋体"/>
          <w:bCs/>
          <w:color w:val="000000"/>
          <w:kern w:val="0"/>
          <w:sz w:val="24"/>
          <w:szCs w:val="24"/>
          <w:highlight w:val="none"/>
          <w:lang w:eastAsia="zh-CN" w:bidi="ar"/>
        </w:rPr>
        <w:t>2026年</w:t>
      </w:r>
      <w:r>
        <w:rPr>
          <w:rFonts w:hint="eastAsia" w:ascii="宋体" w:hAnsi="宋体" w:cs="宋体"/>
          <w:bCs/>
          <w:color w:val="000000"/>
          <w:kern w:val="0"/>
          <w:sz w:val="24"/>
          <w:szCs w:val="24"/>
          <w:highlight w:val="none"/>
          <w:lang w:val="en-US" w:eastAsia="zh-CN" w:bidi="ar"/>
        </w:rPr>
        <w:t>08</w:t>
      </w:r>
      <w:r>
        <w:rPr>
          <w:rFonts w:hint="eastAsia" w:ascii="宋体" w:hAnsi="宋体" w:cs="宋体"/>
          <w:bCs/>
          <w:color w:val="000000"/>
          <w:kern w:val="0"/>
          <w:sz w:val="24"/>
          <w:szCs w:val="24"/>
          <w:highlight w:val="none"/>
          <w:lang w:bidi="ar"/>
        </w:rPr>
        <w:t>月</w:t>
      </w:r>
      <w:r>
        <w:rPr>
          <w:rFonts w:hint="eastAsia" w:ascii="宋体" w:hAnsi="宋体" w:cs="宋体"/>
          <w:bCs/>
          <w:color w:val="000000"/>
          <w:kern w:val="0"/>
          <w:sz w:val="24"/>
          <w:szCs w:val="24"/>
          <w:highlight w:val="none"/>
          <w:lang w:val="en-US" w:eastAsia="zh-CN" w:bidi="ar"/>
        </w:rPr>
        <w:t>04</w:t>
      </w:r>
      <w:r>
        <w:rPr>
          <w:rFonts w:hint="eastAsia" w:ascii="宋体" w:hAnsi="宋体" w:cs="宋体"/>
          <w:bCs/>
          <w:color w:val="000000"/>
          <w:kern w:val="0"/>
          <w:sz w:val="24"/>
          <w:szCs w:val="24"/>
          <w:highlight w:val="none"/>
          <w:lang w:bidi="ar"/>
        </w:rPr>
        <w:t>日</w:t>
      </w:r>
      <w:r>
        <w:rPr>
          <w:rFonts w:hint="eastAsia" w:ascii="宋体" w:hAnsi="宋体" w:cs="宋体"/>
          <w:bCs/>
          <w:color w:val="000000"/>
          <w:kern w:val="0"/>
          <w:sz w:val="24"/>
          <w:szCs w:val="24"/>
          <w:highlight w:val="none"/>
          <w:lang w:bidi="ar"/>
        </w:rPr>
        <w:t>，每天上午00:00至12:00，下午12:00至23:59（北京时间，法定节假日除外。）。</w:t>
      </w:r>
    </w:p>
    <w:p w14:paraId="0979C369">
      <w:pPr>
        <w:spacing w:line="440" w:lineRule="exact"/>
        <w:ind w:firstLine="480" w:firstLineChars="200"/>
        <w:jc w:val="left"/>
        <w:rPr>
          <w:rFonts w:hint="eastAsia" w:ascii="宋体" w:hAnsi="宋体" w:eastAsia="宋体" w:cs="宋体"/>
          <w:bCs/>
          <w:color w:val="000000"/>
          <w:kern w:val="0"/>
          <w:sz w:val="24"/>
          <w:szCs w:val="24"/>
          <w:highlight w:val="none"/>
          <w:lang w:bidi="ar"/>
        </w:rPr>
      </w:pPr>
      <w:r>
        <w:rPr>
          <w:rFonts w:hint="eastAsia" w:ascii="宋体" w:hAnsi="宋体" w:eastAsia="宋体" w:cs="宋体"/>
          <w:bCs/>
          <w:color w:val="000000"/>
          <w:kern w:val="0"/>
          <w:sz w:val="24"/>
          <w:szCs w:val="24"/>
          <w:highlight w:val="none"/>
          <w:lang w:bidi="ar"/>
        </w:rPr>
        <w:t>2.地点：《全国公共资源交易平台（河南省·平顶山市）》（http://ggzy.pds.gov.cn）</w:t>
      </w:r>
    </w:p>
    <w:p w14:paraId="41719987">
      <w:pPr>
        <w:spacing w:line="440" w:lineRule="exact"/>
        <w:ind w:firstLine="480" w:firstLineChars="200"/>
        <w:jc w:val="left"/>
        <w:rPr>
          <w:rFonts w:hint="eastAsia" w:ascii="宋体" w:hAnsi="宋体" w:eastAsia="宋体" w:cs="宋体"/>
          <w:bCs/>
          <w:color w:val="000000"/>
          <w:kern w:val="0"/>
          <w:sz w:val="24"/>
          <w:szCs w:val="24"/>
          <w:highlight w:val="none"/>
          <w:lang w:bidi="ar"/>
        </w:rPr>
      </w:pPr>
      <w:r>
        <w:rPr>
          <w:rFonts w:hint="eastAsia" w:ascii="宋体" w:hAnsi="宋体" w:eastAsia="宋体" w:cs="宋体"/>
          <w:bCs/>
          <w:color w:val="000000"/>
          <w:kern w:val="0"/>
          <w:sz w:val="24"/>
          <w:szCs w:val="24"/>
          <w:highlight w:val="none"/>
          <w:lang w:bidi="ar"/>
        </w:rPr>
        <w:t>3.方式：潜在</w:t>
      </w:r>
      <w:r>
        <w:rPr>
          <w:rFonts w:hint="eastAsia" w:ascii="宋体" w:hAnsi="宋体" w:eastAsia="宋体" w:cs="宋体"/>
          <w:bCs/>
          <w:color w:val="000000"/>
          <w:kern w:val="0"/>
          <w:sz w:val="24"/>
          <w:szCs w:val="24"/>
          <w:highlight w:val="none"/>
          <w:lang w:eastAsia="zh-CN" w:bidi="ar"/>
        </w:rPr>
        <w:t>供应商</w:t>
      </w:r>
      <w:r>
        <w:rPr>
          <w:rFonts w:hint="eastAsia" w:ascii="宋体" w:hAnsi="宋体" w:eastAsia="宋体" w:cs="宋体"/>
          <w:bCs/>
          <w:color w:val="000000"/>
          <w:kern w:val="0"/>
          <w:sz w:val="24"/>
          <w:szCs w:val="24"/>
          <w:highlight w:val="none"/>
          <w:lang w:bidi="ar"/>
        </w:rPr>
        <w:t>下载招标文件需凭CA数字证书通过平顶山市公共资源交易中心网（http://ggzy.pds.gov.cn）“交易主体登录”入口进入交易系统进行下载。具体操作请查看以下链接：</w:t>
      </w:r>
    </w:p>
    <w:p w14:paraId="37CE261C">
      <w:pPr>
        <w:spacing w:line="440" w:lineRule="exact"/>
        <w:ind w:firstLine="480" w:firstLineChars="200"/>
        <w:jc w:val="left"/>
        <w:rPr>
          <w:rFonts w:hint="eastAsia" w:ascii="宋体" w:hAnsi="宋体" w:eastAsia="宋体" w:cs="宋体"/>
          <w:bCs/>
          <w:color w:val="000000"/>
          <w:kern w:val="0"/>
          <w:sz w:val="24"/>
          <w:szCs w:val="24"/>
          <w:highlight w:val="none"/>
          <w:lang w:bidi="ar"/>
        </w:rPr>
      </w:pPr>
      <w:r>
        <w:rPr>
          <w:rFonts w:hint="eastAsia" w:ascii="宋体" w:hAnsi="宋体" w:eastAsia="宋体" w:cs="宋体"/>
          <w:bCs/>
          <w:color w:val="000000"/>
          <w:kern w:val="0"/>
          <w:sz w:val="24"/>
          <w:szCs w:val="24"/>
          <w:highlight w:val="none"/>
          <w:lang w:bidi="ar"/>
        </w:rPr>
        <w:t>链接地址：http://ggzy.pds.gov.cn/fwzn/index.jhtml</w:t>
      </w:r>
    </w:p>
    <w:p w14:paraId="2288D3BD">
      <w:pPr>
        <w:spacing w:line="440" w:lineRule="exact"/>
        <w:ind w:firstLine="480" w:firstLineChars="200"/>
        <w:jc w:val="left"/>
        <w:rPr>
          <w:rFonts w:hint="eastAsia" w:ascii="宋体" w:hAnsi="宋体" w:eastAsia="宋体" w:cs="宋体"/>
          <w:bCs/>
          <w:color w:val="000000"/>
          <w:kern w:val="0"/>
          <w:sz w:val="24"/>
          <w:szCs w:val="24"/>
          <w:highlight w:val="none"/>
          <w:lang w:bidi="ar"/>
        </w:rPr>
      </w:pPr>
      <w:r>
        <w:rPr>
          <w:rFonts w:hint="eastAsia" w:ascii="宋体" w:hAnsi="宋体" w:eastAsia="宋体" w:cs="宋体"/>
          <w:bCs/>
          <w:color w:val="000000"/>
          <w:kern w:val="0"/>
          <w:sz w:val="24"/>
          <w:szCs w:val="24"/>
          <w:highlight w:val="none"/>
          <w:lang w:bidi="ar"/>
        </w:rPr>
        <w:t>办理CA证书：http://ggzy.pds.gov.cn/fwzn/index.jhtml</w:t>
      </w:r>
    </w:p>
    <w:p w14:paraId="5CA9A952">
      <w:pPr>
        <w:spacing w:line="440" w:lineRule="exact"/>
        <w:ind w:firstLine="480" w:firstLineChars="200"/>
        <w:jc w:val="left"/>
        <w:rPr>
          <w:rFonts w:hint="eastAsia" w:ascii="宋体" w:hAnsi="宋体" w:eastAsia="宋体" w:cs="宋体"/>
          <w:bCs/>
          <w:color w:val="000000"/>
          <w:kern w:val="0"/>
          <w:sz w:val="24"/>
          <w:szCs w:val="24"/>
          <w:highlight w:val="none"/>
          <w:lang w:bidi="ar"/>
        </w:rPr>
      </w:pPr>
      <w:r>
        <w:rPr>
          <w:rFonts w:hint="eastAsia" w:ascii="宋体" w:hAnsi="宋体" w:eastAsia="宋体" w:cs="宋体"/>
          <w:bCs/>
          <w:color w:val="000000"/>
          <w:kern w:val="0"/>
          <w:sz w:val="24"/>
          <w:szCs w:val="24"/>
          <w:highlight w:val="none"/>
          <w:lang w:bidi="ar"/>
        </w:rPr>
        <w:t>4.售价：0元</w:t>
      </w:r>
    </w:p>
    <w:p w14:paraId="138CC37A">
      <w:pPr>
        <w:spacing w:line="440" w:lineRule="exact"/>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四、投标截止时间及地点</w:t>
      </w:r>
    </w:p>
    <w:p w14:paraId="52017E85">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1</w:t>
      </w:r>
      <w:r>
        <w:rPr>
          <w:rFonts w:hint="eastAsia" w:ascii="宋体" w:hAnsi="宋体" w:cs="宋体"/>
          <w:bCs/>
          <w:color w:val="000000"/>
          <w:kern w:val="0"/>
          <w:sz w:val="24"/>
          <w:szCs w:val="24"/>
          <w:highlight w:val="none"/>
          <w:lang w:val="en-US" w:eastAsia="zh-CN" w:bidi="ar"/>
        </w:rPr>
        <w:t>.</w:t>
      </w:r>
      <w:r>
        <w:rPr>
          <w:rFonts w:hint="eastAsia" w:ascii="宋体" w:hAnsi="宋体" w:cs="宋体"/>
          <w:bCs/>
          <w:color w:val="000000"/>
          <w:kern w:val="0"/>
          <w:sz w:val="24"/>
          <w:szCs w:val="24"/>
          <w:highlight w:val="none"/>
          <w:lang w:bidi="ar"/>
        </w:rPr>
        <w:t>时间：</w:t>
      </w:r>
      <w:r>
        <w:rPr>
          <w:rFonts w:hint="eastAsia" w:ascii="宋体" w:hAnsi="宋体" w:cs="宋体"/>
          <w:bCs/>
          <w:color w:val="000000"/>
          <w:kern w:val="0"/>
          <w:sz w:val="24"/>
          <w:szCs w:val="24"/>
          <w:highlight w:val="none"/>
          <w:lang w:val="en-US" w:eastAsia="zh-CN" w:bidi="ar"/>
        </w:rPr>
        <w:t>2026年08</w:t>
      </w:r>
      <w:r>
        <w:rPr>
          <w:rFonts w:hint="eastAsia" w:ascii="宋体" w:hAnsi="宋体" w:eastAsia="宋体" w:cs="宋体"/>
          <w:bCs/>
          <w:color w:val="000000"/>
          <w:kern w:val="0"/>
          <w:sz w:val="24"/>
          <w:szCs w:val="24"/>
          <w:highlight w:val="none"/>
          <w:lang w:val="en-US" w:eastAsia="zh-CN" w:bidi="ar"/>
        </w:rPr>
        <w:t>月</w:t>
      </w:r>
      <w:r>
        <w:rPr>
          <w:rFonts w:hint="eastAsia" w:ascii="宋体" w:hAnsi="宋体" w:cs="宋体"/>
          <w:bCs/>
          <w:color w:val="000000"/>
          <w:kern w:val="0"/>
          <w:sz w:val="24"/>
          <w:szCs w:val="24"/>
          <w:highlight w:val="none"/>
          <w:lang w:val="en-US" w:eastAsia="zh-CN" w:bidi="ar"/>
        </w:rPr>
        <w:t>05</w:t>
      </w:r>
      <w:r>
        <w:rPr>
          <w:rFonts w:hint="eastAsia" w:ascii="宋体" w:hAnsi="宋体" w:eastAsia="宋体" w:cs="宋体"/>
          <w:bCs/>
          <w:color w:val="000000"/>
          <w:kern w:val="0"/>
          <w:sz w:val="24"/>
          <w:szCs w:val="24"/>
          <w:highlight w:val="none"/>
          <w:lang w:val="en-US" w:eastAsia="zh-CN" w:bidi="ar"/>
        </w:rPr>
        <w:t>日</w:t>
      </w:r>
      <w:r>
        <w:rPr>
          <w:rFonts w:hint="eastAsia" w:ascii="宋体" w:hAnsi="宋体" w:cs="宋体"/>
          <w:bCs/>
          <w:color w:val="000000"/>
          <w:kern w:val="0"/>
          <w:sz w:val="24"/>
          <w:szCs w:val="24"/>
          <w:highlight w:val="none"/>
          <w:lang w:val="en-US" w:eastAsia="zh-CN" w:bidi="ar"/>
        </w:rPr>
        <w:t>09</w:t>
      </w:r>
      <w:r>
        <w:rPr>
          <w:rFonts w:hint="eastAsia" w:ascii="宋体" w:hAnsi="宋体" w:eastAsia="宋体" w:cs="宋体"/>
          <w:bCs/>
          <w:color w:val="000000"/>
          <w:kern w:val="0"/>
          <w:sz w:val="24"/>
          <w:szCs w:val="24"/>
          <w:highlight w:val="none"/>
          <w:lang w:val="en-US" w:eastAsia="zh-CN" w:bidi="ar"/>
        </w:rPr>
        <w:t>时</w:t>
      </w:r>
      <w:r>
        <w:rPr>
          <w:rFonts w:hint="eastAsia" w:ascii="宋体" w:hAnsi="宋体" w:cs="宋体"/>
          <w:bCs/>
          <w:color w:val="000000"/>
          <w:kern w:val="0"/>
          <w:sz w:val="24"/>
          <w:szCs w:val="24"/>
          <w:highlight w:val="none"/>
          <w:lang w:val="en-US" w:eastAsia="zh-CN" w:bidi="ar"/>
        </w:rPr>
        <w:t>00</w:t>
      </w:r>
      <w:r>
        <w:rPr>
          <w:rFonts w:hint="eastAsia" w:ascii="宋体" w:hAnsi="宋体" w:eastAsia="宋体" w:cs="宋体"/>
          <w:bCs/>
          <w:color w:val="000000"/>
          <w:kern w:val="0"/>
          <w:sz w:val="24"/>
          <w:szCs w:val="24"/>
          <w:highlight w:val="none"/>
          <w:lang w:val="en-US" w:eastAsia="zh-CN" w:bidi="ar"/>
        </w:rPr>
        <w:t>分</w:t>
      </w:r>
      <w:r>
        <w:rPr>
          <w:rFonts w:hint="eastAsia" w:ascii="宋体" w:hAnsi="宋体" w:cs="宋体"/>
          <w:bCs/>
          <w:color w:val="000000"/>
          <w:kern w:val="0"/>
          <w:sz w:val="24"/>
          <w:szCs w:val="24"/>
          <w:highlight w:val="none"/>
          <w:lang w:bidi="ar"/>
        </w:rPr>
        <w:t>（北京时间）</w:t>
      </w:r>
    </w:p>
    <w:p w14:paraId="528F59F0">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2</w:t>
      </w:r>
      <w:r>
        <w:rPr>
          <w:rFonts w:hint="eastAsia" w:ascii="宋体" w:hAnsi="宋体" w:cs="宋体"/>
          <w:bCs/>
          <w:color w:val="000000"/>
          <w:kern w:val="0"/>
          <w:sz w:val="24"/>
          <w:szCs w:val="24"/>
          <w:highlight w:val="none"/>
          <w:lang w:val="en-US" w:eastAsia="zh-CN" w:bidi="ar"/>
        </w:rPr>
        <w:t>.</w:t>
      </w:r>
      <w:r>
        <w:rPr>
          <w:rFonts w:hint="eastAsia" w:ascii="宋体" w:hAnsi="宋体" w:cs="宋体"/>
          <w:bCs/>
          <w:color w:val="000000"/>
          <w:kern w:val="0"/>
          <w:sz w:val="24"/>
          <w:szCs w:val="24"/>
          <w:highlight w:val="none"/>
          <w:lang w:bidi="ar"/>
        </w:rPr>
        <w:t>地点：</w:t>
      </w:r>
      <w:r>
        <w:rPr>
          <w:rFonts w:hint="eastAsia" w:ascii="宋体" w:hAnsi="宋体" w:cs="宋体"/>
          <w:kern w:val="0"/>
          <w:sz w:val="24"/>
          <w:highlight w:val="none"/>
        </w:rPr>
        <w:t>《全国公共资源交易平台（河南省·平顶山市）》公共资源交易系统</w:t>
      </w:r>
    </w:p>
    <w:p w14:paraId="778867F9">
      <w:pPr>
        <w:spacing w:line="440" w:lineRule="exact"/>
        <w:ind w:right="395"/>
        <w:jc w:val="left"/>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五、开标时间及地点</w:t>
      </w:r>
    </w:p>
    <w:p w14:paraId="0ED5C1B9">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1</w:t>
      </w:r>
      <w:r>
        <w:rPr>
          <w:rFonts w:hint="eastAsia" w:ascii="宋体" w:hAnsi="宋体" w:cs="宋体"/>
          <w:bCs/>
          <w:color w:val="000000"/>
          <w:kern w:val="0"/>
          <w:sz w:val="24"/>
          <w:szCs w:val="24"/>
          <w:highlight w:val="none"/>
          <w:lang w:val="en-US" w:eastAsia="zh-CN" w:bidi="ar"/>
        </w:rPr>
        <w:t>.</w:t>
      </w:r>
      <w:r>
        <w:rPr>
          <w:rFonts w:hint="eastAsia" w:ascii="宋体" w:hAnsi="宋体" w:cs="宋体"/>
          <w:bCs/>
          <w:color w:val="000000"/>
          <w:kern w:val="0"/>
          <w:sz w:val="24"/>
          <w:szCs w:val="24"/>
          <w:highlight w:val="none"/>
          <w:lang w:bidi="ar"/>
        </w:rPr>
        <w:t>时间：</w:t>
      </w:r>
      <w:r>
        <w:rPr>
          <w:rFonts w:hint="eastAsia" w:ascii="宋体" w:hAnsi="宋体" w:cs="宋体"/>
          <w:bCs/>
          <w:color w:val="000000"/>
          <w:kern w:val="0"/>
          <w:sz w:val="24"/>
          <w:szCs w:val="24"/>
          <w:highlight w:val="none"/>
          <w:lang w:val="en-US" w:eastAsia="zh-CN" w:bidi="ar"/>
        </w:rPr>
        <w:t>2026年08</w:t>
      </w:r>
      <w:r>
        <w:rPr>
          <w:rFonts w:hint="eastAsia" w:ascii="宋体" w:hAnsi="宋体" w:eastAsia="宋体" w:cs="宋体"/>
          <w:bCs/>
          <w:color w:val="000000"/>
          <w:kern w:val="0"/>
          <w:sz w:val="24"/>
          <w:szCs w:val="24"/>
          <w:highlight w:val="none"/>
          <w:lang w:val="en-US" w:eastAsia="zh-CN" w:bidi="ar"/>
        </w:rPr>
        <w:t>月</w:t>
      </w:r>
      <w:r>
        <w:rPr>
          <w:rFonts w:hint="eastAsia" w:ascii="宋体" w:hAnsi="宋体" w:cs="宋体"/>
          <w:bCs/>
          <w:color w:val="000000"/>
          <w:kern w:val="0"/>
          <w:sz w:val="24"/>
          <w:szCs w:val="24"/>
          <w:highlight w:val="none"/>
          <w:lang w:val="en-US" w:eastAsia="zh-CN" w:bidi="ar"/>
        </w:rPr>
        <w:t>05</w:t>
      </w:r>
      <w:r>
        <w:rPr>
          <w:rFonts w:hint="eastAsia" w:ascii="宋体" w:hAnsi="宋体" w:eastAsia="宋体" w:cs="宋体"/>
          <w:bCs/>
          <w:color w:val="000000"/>
          <w:kern w:val="0"/>
          <w:sz w:val="24"/>
          <w:szCs w:val="24"/>
          <w:highlight w:val="none"/>
          <w:lang w:val="en-US" w:eastAsia="zh-CN" w:bidi="ar"/>
        </w:rPr>
        <w:t>日</w:t>
      </w:r>
      <w:r>
        <w:rPr>
          <w:rFonts w:hint="eastAsia" w:ascii="宋体" w:hAnsi="宋体" w:cs="宋体"/>
          <w:bCs/>
          <w:color w:val="000000"/>
          <w:kern w:val="0"/>
          <w:sz w:val="24"/>
          <w:szCs w:val="24"/>
          <w:highlight w:val="none"/>
          <w:lang w:val="en-US" w:eastAsia="zh-CN" w:bidi="ar"/>
        </w:rPr>
        <w:t>09</w:t>
      </w:r>
      <w:r>
        <w:rPr>
          <w:rFonts w:hint="eastAsia" w:ascii="宋体" w:hAnsi="宋体" w:eastAsia="宋体" w:cs="宋体"/>
          <w:bCs/>
          <w:color w:val="000000"/>
          <w:kern w:val="0"/>
          <w:sz w:val="24"/>
          <w:szCs w:val="24"/>
          <w:highlight w:val="none"/>
          <w:lang w:val="en-US" w:eastAsia="zh-CN" w:bidi="ar"/>
        </w:rPr>
        <w:t>时</w:t>
      </w:r>
      <w:r>
        <w:rPr>
          <w:rFonts w:hint="eastAsia" w:ascii="宋体" w:hAnsi="宋体" w:cs="宋体"/>
          <w:bCs/>
          <w:color w:val="000000"/>
          <w:kern w:val="0"/>
          <w:sz w:val="24"/>
          <w:szCs w:val="24"/>
          <w:highlight w:val="none"/>
          <w:lang w:val="en-US" w:eastAsia="zh-CN" w:bidi="ar"/>
        </w:rPr>
        <w:t>00</w:t>
      </w:r>
      <w:r>
        <w:rPr>
          <w:rFonts w:hint="eastAsia" w:ascii="宋体" w:hAnsi="宋体" w:eastAsia="宋体" w:cs="宋体"/>
          <w:bCs/>
          <w:color w:val="000000"/>
          <w:kern w:val="0"/>
          <w:sz w:val="24"/>
          <w:szCs w:val="24"/>
          <w:highlight w:val="none"/>
          <w:lang w:val="en-US" w:eastAsia="zh-CN" w:bidi="ar"/>
        </w:rPr>
        <w:t>分</w:t>
      </w:r>
      <w:r>
        <w:rPr>
          <w:rFonts w:hint="eastAsia" w:ascii="宋体" w:hAnsi="宋体" w:cs="宋体"/>
          <w:bCs/>
          <w:color w:val="000000"/>
          <w:kern w:val="0"/>
          <w:sz w:val="24"/>
          <w:szCs w:val="24"/>
          <w:highlight w:val="none"/>
          <w:lang w:bidi="ar"/>
        </w:rPr>
        <w:t>（北京时间）</w:t>
      </w:r>
    </w:p>
    <w:p w14:paraId="1A5C62B6">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2</w:t>
      </w:r>
      <w:r>
        <w:rPr>
          <w:rFonts w:hint="eastAsia" w:ascii="宋体" w:hAnsi="宋体" w:cs="宋体"/>
          <w:bCs/>
          <w:color w:val="000000"/>
          <w:kern w:val="0"/>
          <w:sz w:val="24"/>
          <w:szCs w:val="24"/>
          <w:highlight w:val="none"/>
          <w:lang w:val="en-US" w:eastAsia="zh-CN" w:bidi="ar"/>
        </w:rPr>
        <w:t>.</w:t>
      </w:r>
      <w:r>
        <w:rPr>
          <w:rFonts w:hint="eastAsia" w:ascii="宋体" w:hAnsi="宋体" w:cs="宋体"/>
          <w:bCs/>
          <w:color w:val="000000"/>
          <w:kern w:val="0"/>
          <w:sz w:val="24"/>
          <w:szCs w:val="24"/>
          <w:highlight w:val="none"/>
          <w:lang w:bidi="ar"/>
        </w:rPr>
        <w:t>地点：</w:t>
      </w:r>
      <w:r>
        <w:rPr>
          <w:rFonts w:hint="eastAsia" w:ascii="宋体" w:hAnsi="宋体" w:cs="宋体"/>
          <w:kern w:val="0"/>
          <w:sz w:val="24"/>
          <w:highlight w:val="none"/>
        </w:rPr>
        <w:t>《全国公共资源交易平台（河南省·平顶山市）》公共资源交易系统</w:t>
      </w:r>
    </w:p>
    <w:p w14:paraId="2D0567CD">
      <w:pPr>
        <w:spacing w:line="440" w:lineRule="exact"/>
        <w:ind w:right="395"/>
        <w:jc w:val="left"/>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六、发布公告的媒介及招标公告期限</w:t>
      </w:r>
    </w:p>
    <w:p w14:paraId="2B1F6911">
      <w:pPr>
        <w:spacing w:line="440" w:lineRule="exact"/>
        <w:ind w:firstLine="480" w:firstLineChars="200"/>
        <w:jc w:val="left"/>
        <w:rPr>
          <w:rFonts w:hint="eastAsia" w:ascii="宋体" w:hAnsi="宋体" w:cs="宋体"/>
          <w:bCs/>
          <w:color w:val="000000"/>
          <w:kern w:val="0"/>
          <w:sz w:val="24"/>
          <w:szCs w:val="24"/>
          <w:highlight w:val="none"/>
          <w:lang w:bidi="ar"/>
        </w:rPr>
      </w:pPr>
      <w:r>
        <w:rPr>
          <w:rFonts w:hint="eastAsia" w:ascii="宋体" w:hAnsi="宋体" w:cs="宋体"/>
          <w:bCs/>
          <w:color w:val="000000"/>
          <w:kern w:val="0"/>
          <w:sz w:val="24"/>
          <w:szCs w:val="24"/>
          <w:highlight w:val="none"/>
          <w:lang w:bidi="ar"/>
        </w:rPr>
        <w:t>本次招标公告在</w:t>
      </w:r>
      <w:r>
        <w:rPr>
          <w:rFonts w:hint="eastAsia" w:ascii="宋体" w:hAnsi="宋体" w:cs="宋体"/>
          <w:color w:val="000000"/>
          <w:sz w:val="24"/>
          <w:szCs w:val="24"/>
          <w:highlight w:val="none"/>
        </w:rPr>
        <w:t>《河南省政府采购网》、《中国采购与招标网》、《平顶山市政府采购网》</w:t>
      </w:r>
      <w:r>
        <w:rPr>
          <w:rFonts w:hint="eastAsia" w:ascii="宋体" w:hAnsi="宋体" w:cs="宋体"/>
          <w:color w:val="000000"/>
          <w:sz w:val="24"/>
          <w:szCs w:val="24"/>
          <w:highlight w:val="none"/>
          <w:lang w:eastAsia="zh-CN"/>
        </w:rPr>
        <w:t>、</w:t>
      </w:r>
      <w:r>
        <w:rPr>
          <w:rFonts w:hint="eastAsia" w:ascii="宋体" w:hAnsi="宋体" w:cs="宋体"/>
          <w:kern w:val="0"/>
          <w:sz w:val="24"/>
          <w:highlight w:val="none"/>
        </w:rPr>
        <w:t>《全国公共资源交易平台（河南省·平顶山市）》</w:t>
      </w:r>
      <w:r>
        <w:rPr>
          <w:rFonts w:hint="eastAsia" w:ascii="宋体" w:hAnsi="宋体" w:cs="宋体"/>
          <w:color w:val="000000"/>
          <w:sz w:val="24"/>
          <w:szCs w:val="24"/>
          <w:highlight w:val="none"/>
        </w:rPr>
        <w:t>及《</w:t>
      </w:r>
      <w:r>
        <w:rPr>
          <w:rFonts w:hint="eastAsia" w:ascii="宋体" w:hAnsi="宋体" w:cs="宋体"/>
          <w:color w:val="000000"/>
          <w:sz w:val="24"/>
          <w:szCs w:val="24"/>
          <w:highlight w:val="none"/>
          <w:lang w:eastAsia="zh-CN"/>
        </w:rPr>
        <w:t>平顶山市工业学校</w:t>
      </w:r>
      <w:r>
        <w:rPr>
          <w:rFonts w:hint="eastAsia" w:ascii="宋体" w:hAnsi="宋体" w:cs="宋体"/>
          <w:color w:val="000000"/>
          <w:sz w:val="24"/>
          <w:szCs w:val="24"/>
          <w:highlight w:val="none"/>
        </w:rPr>
        <w:t>》</w:t>
      </w:r>
      <w:r>
        <w:rPr>
          <w:rFonts w:hint="eastAsia" w:ascii="宋体" w:hAnsi="宋体" w:cs="宋体"/>
          <w:bCs/>
          <w:color w:val="000000"/>
          <w:kern w:val="0"/>
          <w:sz w:val="24"/>
          <w:szCs w:val="24"/>
          <w:highlight w:val="none"/>
          <w:lang w:bidi="ar"/>
        </w:rPr>
        <w:t>上发布。</w:t>
      </w:r>
      <w:r>
        <w:rPr>
          <w:rFonts w:hint="eastAsia" w:ascii="宋体" w:hAnsi="宋体" w:cs="宋体"/>
          <w:bCs/>
          <w:color w:val="000000"/>
          <w:kern w:val="0"/>
          <w:sz w:val="24"/>
          <w:szCs w:val="24"/>
          <w:highlight w:val="none"/>
          <w:lang w:eastAsia="zh-CN" w:bidi="ar"/>
        </w:rPr>
        <w:t>招标</w:t>
      </w:r>
      <w:r>
        <w:rPr>
          <w:rFonts w:hint="eastAsia" w:ascii="宋体" w:hAnsi="宋体" w:cs="宋体"/>
          <w:bCs/>
          <w:color w:val="000000"/>
          <w:kern w:val="0"/>
          <w:sz w:val="24"/>
          <w:szCs w:val="24"/>
          <w:highlight w:val="none"/>
          <w:lang w:bidi="ar"/>
        </w:rPr>
        <w:t>公告期限为五个工作日。</w:t>
      </w:r>
    </w:p>
    <w:p w14:paraId="6D80C431">
      <w:pPr>
        <w:spacing w:line="440" w:lineRule="exact"/>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七、其他补充事宜</w:t>
      </w:r>
    </w:p>
    <w:p w14:paraId="7E74A96F">
      <w:pPr>
        <w:spacing w:line="440" w:lineRule="exact"/>
        <w:ind w:firstLine="480" w:firstLineChars="200"/>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1.平顶山市公共资源交易中心全面实行在线“不见面”开标，供应商远程在线解密响应文件，不再到开标现场，供应商开标前应仔细阅读招标文件中《“不见面”开标注意事项及操作流程》。</w:t>
      </w:r>
    </w:p>
    <w:p w14:paraId="209A4A83">
      <w:pPr>
        <w:spacing w:line="440" w:lineRule="exact"/>
        <w:ind w:right="395" w:firstLine="708" w:firstLineChars="300"/>
        <w:jc w:val="left"/>
        <w:rPr>
          <w:rFonts w:hint="eastAsia" w:ascii="宋体" w:hAnsi="宋体" w:cs="宋体"/>
          <w:color w:val="000000"/>
          <w:sz w:val="24"/>
          <w:szCs w:val="24"/>
          <w:highlight w:val="none"/>
          <w:lang w:val="en-US" w:eastAsia="zh-CN"/>
        </w:rPr>
      </w:pPr>
      <w:r>
        <w:rPr>
          <w:rFonts w:hint="eastAsia" w:ascii="宋体" w:hAnsi="宋体" w:cs="宋体"/>
          <w:color w:val="000000"/>
          <w:spacing w:val="-2"/>
          <w:sz w:val="24"/>
          <w:szCs w:val="24"/>
          <w:highlight w:val="none"/>
        </w:rPr>
        <w:t>2.</w:t>
      </w:r>
      <w:r>
        <w:rPr>
          <w:rFonts w:hint="eastAsia" w:ascii="宋体" w:hAnsi="宋体" w:cs="宋体"/>
          <w:color w:val="000000"/>
          <w:sz w:val="24"/>
          <w:szCs w:val="24"/>
          <w:highlight w:val="none"/>
          <w:lang w:val="en-US" w:eastAsia="zh-CN"/>
        </w:rPr>
        <w:t>投标人或其他利害关系人对本次公告如有异议，请按中华人民共和国财政部令第94号《政府采购质疑和投诉办法》的相关规定，在规定时间内，向采购人、采购代理机构、政府采购监督部门提出质疑、投诉等事宜。逾期未提交或未按照要求提交的质疑、投诉将不予受理。</w:t>
      </w:r>
    </w:p>
    <w:p w14:paraId="18F7818C">
      <w:pPr>
        <w:spacing w:line="440" w:lineRule="exact"/>
        <w:ind w:right="395" w:firstLine="720" w:firstLineChars="300"/>
        <w:jc w:val="left"/>
        <w:rPr>
          <w:rFonts w:hint="eastAsia" w:ascii="宋体" w:hAnsi="宋体" w:cs="宋体"/>
          <w:color w:val="000000"/>
          <w:spacing w:val="-2"/>
          <w:sz w:val="24"/>
          <w:szCs w:val="24"/>
          <w:highlight w:val="none"/>
        </w:rPr>
      </w:pPr>
      <w:r>
        <w:rPr>
          <w:rFonts w:hint="eastAsia" w:ascii="宋体" w:hAnsi="宋体" w:cs="宋体"/>
          <w:color w:val="000000"/>
          <w:sz w:val="24"/>
          <w:szCs w:val="24"/>
          <w:highlight w:val="none"/>
          <w:lang w:val="en-US" w:eastAsia="zh-CN"/>
        </w:rPr>
        <w:t>3.</w:t>
      </w:r>
      <w:r>
        <w:rPr>
          <w:rFonts w:hint="eastAsia" w:ascii="宋体" w:hAnsi="宋体" w:cs="宋体"/>
          <w:color w:val="000000"/>
          <w:spacing w:val="-2"/>
          <w:sz w:val="24"/>
          <w:szCs w:val="24"/>
          <w:highlight w:val="none"/>
        </w:rPr>
        <w:t>监督部门：平顶山市财政局</w:t>
      </w:r>
    </w:p>
    <w:p w14:paraId="1467F1FE">
      <w:pPr>
        <w:spacing w:line="440" w:lineRule="exact"/>
        <w:ind w:firstLine="708" w:firstLineChars="300"/>
        <w:jc w:val="left"/>
        <w:rPr>
          <w:rFonts w:hint="eastAsia" w:ascii="宋体" w:hAnsi="宋体" w:cs="宋体"/>
          <w:color w:val="000000"/>
          <w:sz w:val="24"/>
          <w:szCs w:val="24"/>
          <w:highlight w:val="none"/>
        </w:rPr>
      </w:pPr>
      <w:r>
        <w:rPr>
          <w:rFonts w:hint="eastAsia" w:ascii="宋体" w:hAnsi="宋体" w:cs="宋体"/>
          <w:color w:val="000000"/>
          <w:spacing w:val="-2"/>
          <w:sz w:val="24"/>
          <w:szCs w:val="24"/>
          <w:highlight w:val="none"/>
        </w:rPr>
        <w:t>联系方式：0375-2627595</w:t>
      </w:r>
    </w:p>
    <w:p w14:paraId="21AA7697">
      <w:pPr>
        <w:spacing w:line="440" w:lineRule="exact"/>
        <w:ind w:firstLine="480" w:firstLineChars="200"/>
        <w:jc w:val="left"/>
        <w:rPr>
          <w:rFonts w:hint="eastAsia" w:ascii="宋体" w:hAnsi="宋体" w:cs="宋体"/>
          <w:color w:val="000000"/>
          <w:sz w:val="24"/>
          <w:szCs w:val="24"/>
          <w:highlight w:val="none"/>
        </w:rPr>
      </w:pPr>
      <w:r>
        <w:rPr>
          <w:rFonts w:hint="eastAsia" w:ascii="宋体" w:hAnsi="宋体" w:cs="宋体"/>
          <w:color w:val="000000"/>
          <w:sz w:val="24"/>
          <w:szCs w:val="24"/>
          <w:highlight w:val="none"/>
          <w:lang w:val="en-US" w:eastAsia="zh-CN"/>
        </w:rPr>
        <w:t>4.</w:t>
      </w:r>
      <w:r>
        <w:rPr>
          <w:rFonts w:hint="eastAsia" w:ascii="宋体" w:hAnsi="宋体" w:cs="宋体"/>
          <w:color w:val="000000"/>
          <w:sz w:val="24"/>
          <w:szCs w:val="24"/>
          <w:highlight w:val="none"/>
        </w:rPr>
        <w:t>该公告已同步至“平顶山市公共资源交易中心微信公众号”，可通过公众号中的服务栏目进行查阅。</w:t>
      </w:r>
    </w:p>
    <w:p w14:paraId="6FF9E33B">
      <w:pPr>
        <w:spacing w:line="440" w:lineRule="exact"/>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八、凡对本次招标提出询问，请按照以下方式联系</w:t>
      </w:r>
    </w:p>
    <w:p w14:paraId="09F04BAC">
      <w:pPr>
        <w:autoSpaceDE w:val="0"/>
        <w:adjustRightInd w:val="0"/>
        <w:snapToGrid w:val="0"/>
        <w:spacing w:line="440" w:lineRule="exact"/>
        <w:ind w:firstLine="480" w:firstLineChars="200"/>
        <w:jc w:val="left"/>
        <w:rPr>
          <w:rFonts w:hint="eastAsia" w:ascii="宋体" w:hAnsi="宋体" w:cs="宋体"/>
          <w:color w:val="000000"/>
          <w:sz w:val="24"/>
          <w:szCs w:val="24"/>
          <w:highlight w:val="none"/>
          <w:shd w:val="clear" w:color="auto" w:fill="FFFFFF"/>
        </w:rPr>
      </w:pPr>
      <w:r>
        <w:rPr>
          <w:rFonts w:hint="eastAsia" w:ascii="宋体" w:hAnsi="宋体" w:cs="宋体"/>
          <w:color w:val="000000"/>
          <w:sz w:val="24"/>
          <w:szCs w:val="24"/>
          <w:highlight w:val="none"/>
          <w:shd w:val="clear" w:color="auto" w:fill="FFFFFF"/>
        </w:rPr>
        <w:t>1.采购人信息</w:t>
      </w:r>
    </w:p>
    <w:p w14:paraId="237DA4FE">
      <w:pPr>
        <w:autoSpaceDE w:val="0"/>
        <w:adjustRightInd w:val="0"/>
        <w:snapToGrid w:val="0"/>
        <w:spacing w:line="440" w:lineRule="exact"/>
        <w:ind w:firstLine="480" w:firstLineChars="200"/>
        <w:jc w:val="left"/>
        <w:rPr>
          <w:rFonts w:hint="eastAsia" w:ascii="宋体" w:hAnsi="宋体" w:eastAsia="宋体" w:cs="宋体"/>
          <w:color w:val="000000"/>
          <w:sz w:val="24"/>
          <w:szCs w:val="24"/>
          <w:highlight w:val="none"/>
          <w:shd w:val="clear" w:color="auto" w:fill="FFFFFF"/>
          <w:lang w:eastAsia="zh-CN"/>
        </w:rPr>
      </w:pPr>
      <w:r>
        <w:rPr>
          <w:rFonts w:hint="eastAsia" w:ascii="宋体" w:hAnsi="宋体" w:cs="宋体"/>
          <w:color w:val="000000"/>
          <w:sz w:val="24"/>
          <w:szCs w:val="24"/>
          <w:highlight w:val="none"/>
          <w:shd w:val="clear" w:color="auto" w:fill="FFFFFF"/>
        </w:rPr>
        <w:t>名称：</w:t>
      </w:r>
      <w:r>
        <w:rPr>
          <w:rFonts w:hint="eastAsia" w:ascii="宋体" w:hAnsi="宋体" w:cs="宋体"/>
          <w:color w:val="000000"/>
          <w:sz w:val="24"/>
          <w:szCs w:val="24"/>
          <w:highlight w:val="none"/>
          <w:shd w:val="clear" w:color="auto" w:fill="FFFFFF"/>
          <w:lang w:eastAsia="zh-CN"/>
        </w:rPr>
        <w:t>平顶山市工业学校</w:t>
      </w:r>
    </w:p>
    <w:p w14:paraId="1476BFC6">
      <w:pPr>
        <w:autoSpaceDE w:val="0"/>
        <w:adjustRightInd w:val="0"/>
        <w:snapToGrid w:val="0"/>
        <w:spacing w:line="440" w:lineRule="exact"/>
        <w:ind w:firstLine="480" w:firstLineChars="200"/>
        <w:jc w:val="left"/>
        <w:rPr>
          <w:rFonts w:hint="eastAsia" w:ascii="宋体" w:hAnsi="宋体" w:eastAsia="宋体" w:cs="宋体"/>
          <w:color w:val="000000"/>
          <w:sz w:val="24"/>
          <w:szCs w:val="24"/>
          <w:highlight w:val="none"/>
          <w:shd w:val="clear" w:color="auto" w:fill="FFFFFF"/>
          <w:lang w:eastAsia="zh-CN"/>
        </w:rPr>
      </w:pPr>
      <w:r>
        <w:rPr>
          <w:rFonts w:hint="eastAsia" w:ascii="宋体" w:hAnsi="宋体" w:cs="宋体"/>
          <w:color w:val="000000"/>
          <w:sz w:val="24"/>
          <w:szCs w:val="24"/>
          <w:highlight w:val="none"/>
          <w:shd w:val="clear" w:color="auto" w:fill="FFFFFF"/>
        </w:rPr>
        <w:t>地址：</w:t>
      </w:r>
      <w:r>
        <w:rPr>
          <w:rFonts w:hint="eastAsia" w:ascii="宋体" w:hAnsi="宋体" w:cs="宋体"/>
          <w:color w:val="000000"/>
          <w:sz w:val="24"/>
          <w:szCs w:val="24"/>
          <w:highlight w:val="none"/>
          <w:shd w:val="clear" w:color="auto" w:fill="FFFFFF"/>
          <w:lang w:eastAsia="zh-CN"/>
        </w:rPr>
        <w:t>湛河区湛河南路与茂源街交叉口东南100米</w:t>
      </w:r>
    </w:p>
    <w:p w14:paraId="1C7746FA">
      <w:pPr>
        <w:spacing w:line="440" w:lineRule="exact"/>
        <w:ind w:firstLine="480" w:firstLineChars="200"/>
        <w:rPr>
          <w:rFonts w:hint="eastAsia" w:ascii="宋体" w:hAnsi="宋体" w:eastAsia="宋体" w:cs="宋体"/>
          <w:sz w:val="24"/>
          <w:highlight w:val="none"/>
          <w:lang w:eastAsia="zh-CN"/>
        </w:rPr>
      </w:pPr>
      <w:r>
        <w:rPr>
          <w:rFonts w:hint="eastAsia" w:ascii="宋体" w:hAnsi="宋体" w:eastAsia="宋体" w:cs="宋体"/>
          <w:sz w:val="24"/>
          <w:highlight w:val="none"/>
        </w:rPr>
        <w:t>联系人：</w:t>
      </w:r>
      <w:r>
        <w:rPr>
          <w:rFonts w:hint="eastAsia" w:ascii="宋体" w:hAnsi="宋体" w:eastAsia="宋体" w:cs="宋体"/>
          <w:sz w:val="24"/>
          <w:highlight w:val="none"/>
          <w:lang w:eastAsia="zh-CN"/>
        </w:rPr>
        <w:t>郭先生</w:t>
      </w:r>
    </w:p>
    <w:p w14:paraId="0F18B34D">
      <w:pPr>
        <w:autoSpaceDE w:val="0"/>
        <w:adjustRightInd w:val="0"/>
        <w:snapToGrid w:val="0"/>
        <w:spacing w:line="440" w:lineRule="exact"/>
        <w:ind w:firstLine="480" w:firstLineChars="200"/>
        <w:jc w:val="left"/>
        <w:rPr>
          <w:rFonts w:hint="default" w:ascii="宋体" w:hAnsi="宋体" w:cs="宋体"/>
          <w:color w:val="000000"/>
          <w:sz w:val="24"/>
          <w:szCs w:val="24"/>
          <w:highlight w:val="none"/>
          <w:shd w:val="clear" w:color="auto" w:fill="FFFFFF"/>
          <w:lang w:val="en-US"/>
        </w:rPr>
      </w:pPr>
      <w:r>
        <w:rPr>
          <w:rFonts w:hint="eastAsia" w:ascii="宋体" w:hAnsi="宋体" w:eastAsia="宋体" w:cs="宋体"/>
          <w:sz w:val="24"/>
          <w:highlight w:val="none"/>
        </w:rPr>
        <w:t>联系</w:t>
      </w:r>
      <w:r>
        <w:rPr>
          <w:rFonts w:hint="eastAsia" w:ascii="宋体" w:hAnsi="宋体" w:cs="宋体"/>
          <w:color w:val="000000"/>
          <w:sz w:val="24"/>
          <w:szCs w:val="24"/>
          <w:highlight w:val="none"/>
          <w:shd w:val="clear" w:color="auto" w:fill="FFFFFF"/>
        </w:rPr>
        <w:t>方式</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15093801555</w:t>
      </w:r>
    </w:p>
    <w:p w14:paraId="24A09BD2">
      <w:pPr>
        <w:autoSpaceDE w:val="0"/>
        <w:adjustRightInd w:val="0"/>
        <w:snapToGrid w:val="0"/>
        <w:spacing w:line="440" w:lineRule="exact"/>
        <w:ind w:firstLine="480" w:firstLineChars="200"/>
        <w:jc w:val="left"/>
        <w:rPr>
          <w:rFonts w:hint="eastAsia" w:ascii="宋体" w:hAnsi="宋体" w:cs="宋体"/>
          <w:color w:val="000000"/>
          <w:sz w:val="24"/>
          <w:szCs w:val="24"/>
          <w:highlight w:val="none"/>
          <w:shd w:val="clear" w:color="auto" w:fill="FFFFFF"/>
        </w:rPr>
      </w:pPr>
      <w:r>
        <w:rPr>
          <w:rFonts w:hint="eastAsia" w:ascii="宋体" w:hAnsi="宋体" w:cs="宋体"/>
          <w:color w:val="000000"/>
          <w:sz w:val="24"/>
          <w:szCs w:val="24"/>
          <w:highlight w:val="none"/>
          <w:shd w:val="clear" w:color="auto" w:fill="FFFFFF"/>
        </w:rPr>
        <w:t>2.采购代理机构信息（如有）</w:t>
      </w:r>
    </w:p>
    <w:p w14:paraId="028876C3">
      <w:pPr>
        <w:autoSpaceDE w:val="0"/>
        <w:adjustRightInd w:val="0"/>
        <w:snapToGrid w:val="0"/>
        <w:spacing w:line="440" w:lineRule="exact"/>
        <w:ind w:firstLine="480" w:firstLineChars="200"/>
        <w:jc w:val="left"/>
        <w:rPr>
          <w:rFonts w:hint="eastAsia" w:ascii="宋体" w:hAnsi="宋体" w:cs="宋体"/>
          <w:color w:val="000000"/>
          <w:sz w:val="24"/>
          <w:szCs w:val="24"/>
          <w:highlight w:val="none"/>
          <w:shd w:val="clear" w:color="auto" w:fill="FFFFFF"/>
        </w:rPr>
      </w:pPr>
      <w:r>
        <w:rPr>
          <w:rFonts w:hint="eastAsia" w:ascii="宋体" w:hAnsi="宋体" w:cs="宋体"/>
          <w:color w:val="000000"/>
          <w:sz w:val="24"/>
          <w:szCs w:val="24"/>
          <w:highlight w:val="none"/>
          <w:shd w:val="clear" w:color="auto" w:fill="FFFFFF"/>
        </w:rPr>
        <w:t>名称：河南荣之鑫工程管理有限公司</w:t>
      </w:r>
    </w:p>
    <w:p w14:paraId="09816BD2">
      <w:pPr>
        <w:autoSpaceDE w:val="0"/>
        <w:adjustRightInd w:val="0"/>
        <w:snapToGrid w:val="0"/>
        <w:spacing w:line="440" w:lineRule="exact"/>
        <w:ind w:firstLine="480" w:firstLineChars="200"/>
        <w:jc w:val="left"/>
        <w:rPr>
          <w:rFonts w:hint="eastAsia" w:ascii="宋体" w:hAnsi="宋体" w:cs="宋体"/>
          <w:color w:val="000000"/>
          <w:sz w:val="24"/>
          <w:szCs w:val="24"/>
          <w:highlight w:val="none"/>
          <w:shd w:val="clear" w:color="auto" w:fill="FFFFFF"/>
        </w:rPr>
      </w:pPr>
      <w:r>
        <w:rPr>
          <w:rFonts w:hint="eastAsia" w:ascii="宋体" w:hAnsi="宋体" w:cs="宋体"/>
          <w:color w:val="000000"/>
          <w:sz w:val="24"/>
          <w:szCs w:val="24"/>
          <w:highlight w:val="none"/>
          <w:shd w:val="clear" w:color="auto" w:fill="FFFFFF"/>
        </w:rPr>
        <w:t>地址:平顶山市和顺路公园南门嘉荷天城0326003号</w:t>
      </w:r>
    </w:p>
    <w:p w14:paraId="2B8DE1A6">
      <w:pPr>
        <w:autoSpaceDE w:val="0"/>
        <w:adjustRightInd w:val="0"/>
        <w:snapToGrid w:val="0"/>
        <w:spacing w:line="440" w:lineRule="exact"/>
        <w:ind w:firstLine="480" w:firstLineChars="200"/>
        <w:jc w:val="left"/>
        <w:rPr>
          <w:rFonts w:hint="eastAsia" w:ascii="宋体" w:hAnsi="宋体" w:cs="宋体"/>
          <w:color w:val="000000"/>
          <w:sz w:val="24"/>
          <w:szCs w:val="24"/>
          <w:highlight w:val="none"/>
          <w:shd w:val="clear" w:color="auto" w:fill="FFFFFF"/>
        </w:rPr>
      </w:pPr>
      <w:r>
        <w:rPr>
          <w:rFonts w:hint="eastAsia" w:ascii="宋体" w:hAnsi="宋体" w:cs="宋体"/>
          <w:color w:val="000000"/>
          <w:sz w:val="24"/>
          <w:szCs w:val="24"/>
          <w:highlight w:val="none"/>
          <w:shd w:val="clear" w:color="auto" w:fill="FFFFFF"/>
        </w:rPr>
        <w:t>联系人：张先生</w:t>
      </w:r>
    </w:p>
    <w:p w14:paraId="527AD1C7">
      <w:pPr>
        <w:autoSpaceDE w:val="0"/>
        <w:adjustRightInd w:val="0"/>
        <w:snapToGrid w:val="0"/>
        <w:spacing w:line="440" w:lineRule="exact"/>
        <w:ind w:firstLine="480" w:firstLineChars="200"/>
        <w:jc w:val="left"/>
        <w:rPr>
          <w:rFonts w:hint="eastAsia" w:ascii="宋体" w:hAnsi="宋体" w:cs="宋体"/>
          <w:color w:val="000000"/>
          <w:sz w:val="24"/>
          <w:szCs w:val="24"/>
          <w:highlight w:val="none"/>
          <w:shd w:val="clear" w:color="auto" w:fill="FFFFFF"/>
        </w:rPr>
      </w:pPr>
      <w:r>
        <w:rPr>
          <w:rFonts w:hint="eastAsia" w:ascii="宋体" w:hAnsi="宋体" w:cs="宋体"/>
          <w:color w:val="000000"/>
          <w:sz w:val="24"/>
          <w:szCs w:val="24"/>
          <w:highlight w:val="none"/>
          <w:shd w:val="clear" w:color="auto" w:fill="FFFFFF"/>
        </w:rPr>
        <w:t>联系方式：17737565013</w:t>
      </w:r>
    </w:p>
    <w:p w14:paraId="6CCEDE75">
      <w:pPr>
        <w:autoSpaceDE w:val="0"/>
        <w:adjustRightInd w:val="0"/>
        <w:snapToGrid w:val="0"/>
        <w:spacing w:line="440" w:lineRule="exact"/>
        <w:ind w:firstLine="480" w:firstLineChars="200"/>
        <w:jc w:val="left"/>
        <w:rPr>
          <w:rFonts w:hint="eastAsia" w:ascii="宋体" w:hAnsi="宋体" w:cs="宋体"/>
          <w:color w:val="000000"/>
          <w:sz w:val="24"/>
          <w:szCs w:val="24"/>
          <w:highlight w:val="none"/>
          <w:shd w:val="clear" w:color="auto" w:fill="FFFFFF"/>
        </w:rPr>
      </w:pPr>
      <w:r>
        <w:rPr>
          <w:rFonts w:hint="eastAsia" w:ascii="宋体" w:hAnsi="宋体" w:cs="宋体"/>
          <w:color w:val="000000"/>
          <w:sz w:val="24"/>
          <w:szCs w:val="24"/>
          <w:highlight w:val="none"/>
          <w:shd w:val="clear" w:color="auto" w:fill="FFFFFF"/>
        </w:rPr>
        <w:t>3.项目联系方式</w:t>
      </w:r>
    </w:p>
    <w:p w14:paraId="7ABDC65F">
      <w:pPr>
        <w:autoSpaceDE w:val="0"/>
        <w:adjustRightInd w:val="0"/>
        <w:snapToGrid w:val="0"/>
        <w:spacing w:line="440" w:lineRule="exact"/>
        <w:ind w:firstLine="480" w:firstLineChars="200"/>
        <w:jc w:val="left"/>
        <w:rPr>
          <w:rFonts w:hint="eastAsia" w:ascii="宋体" w:hAnsi="宋体" w:cs="宋体"/>
          <w:color w:val="000000"/>
          <w:sz w:val="24"/>
          <w:szCs w:val="24"/>
          <w:highlight w:val="none"/>
          <w:shd w:val="clear" w:color="auto" w:fill="FFFFFF"/>
        </w:rPr>
      </w:pPr>
      <w:r>
        <w:rPr>
          <w:rFonts w:hint="eastAsia" w:ascii="宋体" w:hAnsi="宋体" w:cs="宋体"/>
          <w:color w:val="000000"/>
          <w:sz w:val="24"/>
          <w:szCs w:val="24"/>
          <w:highlight w:val="none"/>
          <w:shd w:val="clear" w:color="auto" w:fill="FFFFFF"/>
        </w:rPr>
        <w:t>项目联系人：张先生</w:t>
      </w:r>
    </w:p>
    <w:p w14:paraId="568D7369">
      <w:pPr>
        <w:spacing w:line="440" w:lineRule="exact"/>
        <w:ind w:firstLine="480" w:firstLineChars="200"/>
        <w:rPr>
          <w:rFonts w:hint="eastAsia" w:ascii="宋体" w:hAnsi="宋体" w:cs="宋体"/>
          <w:color w:val="000000"/>
          <w:kern w:val="0"/>
          <w:sz w:val="24"/>
          <w:szCs w:val="24"/>
          <w:highlight w:val="none"/>
        </w:rPr>
      </w:pPr>
      <w:r>
        <w:rPr>
          <w:rFonts w:hint="eastAsia" w:ascii="宋体" w:hAnsi="宋体" w:cs="宋体"/>
          <w:color w:val="000000"/>
          <w:sz w:val="24"/>
          <w:szCs w:val="24"/>
          <w:highlight w:val="none"/>
          <w:shd w:val="clear" w:color="auto" w:fill="FFFFFF"/>
        </w:rPr>
        <w:t>联系方式：17737565013</w:t>
      </w:r>
    </w:p>
    <w:p w14:paraId="5B32FE40"/>
    <w:p w14:paraId="5A73FDDC">
      <w:pPr>
        <w:spacing w:line="440" w:lineRule="exact"/>
        <w:jc w:val="center"/>
        <w:rPr>
          <w:rFonts w:hint="eastAsia" w:ascii="宋体" w:hAnsi="宋体" w:cs="宋体"/>
          <w:b/>
          <w:bCs/>
          <w:sz w:val="24"/>
          <w:szCs w:val="24"/>
          <w:highlight w:val="none"/>
        </w:rPr>
      </w:pPr>
      <w:r>
        <w:rPr>
          <w:rFonts w:hint="eastAsia" w:ascii="宋体" w:hAnsi="宋体"/>
          <w:b/>
          <w:bCs/>
          <w:color w:val="000000" w:themeColor="text1"/>
          <w:sz w:val="30"/>
          <w:szCs w:val="30"/>
          <w:highlight w:val="none"/>
          <w14:textFill>
            <w14:solidFill>
              <w14:schemeClr w14:val="tx1"/>
            </w14:solidFill>
          </w14:textFill>
        </w:rPr>
        <w:br w:type="page"/>
      </w:r>
      <w:r>
        <w:rPr>
          <w:rFonts w:hint="eastAsia" w:ascii="宋体" w:hAnsi="宋体" w:cs="宋体"/>
          <w:b/>
          <w:kern w:val="0"/>
          <w:sz w:val="30"/>
          <w:szCs w:val="30"/>
          <w:highlight w:val="none"/>
          <w:shd w:val="clear" w:color="auto" w:fill="FFFFFF"/>
          <w:lang w:bidi="ar"/>
        </w:rPr>
        <w:t>温馨提示：</w:t>
      </w:r>
    </w:p>
    <w:p w14:paraId="625F3BCC">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本项目为全流程电子化交易项目，请认真阅读采购文件，并注意以下事项。</w:t>
      </w:r>
    </w:p>
    <w:p w14:paraId="23A72F67">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1.供应商应按采购文件规定编制、提交电子投标文件。</w:t>
      </w:r>
    </w:p>
    <w:p w14:paraId="66A4B65E">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2.本项目供应商不用再提供纸质投标文件。</w:t>
      </w:r>
    </w:p>
    <w:p w14:paraId="209354F8">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3.电子文件下载、制作、提交期间和开标（电子投标文件的解密）环节，供应商须使用CA数字证书（证书须在有效期内）。</w:t>
      </w:r>
    </w:p>
    <w:p w14:paraId="2E635810">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4.电子投标文件的制作</w:t>
      </w:r>
    </w:p>
    <w:p w14:paraId="29AD29C3">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4.1供应商登录《全国公共资源交易平台(河南省▪平顶山市)》公共资源交易系统（</w:t>
      </w:r>
      <w:r>
        <w:rPr>
          <w:rFonts w:hint="eastAsia" w:ascii="宋体" w:hAnsi="宋体" w:cs="宋体"/>
          <w:sz w:val="24"/>
          <w:szCs w:val="24"/>
          <w:highlight w:val="none"/>
          <w:lang w:eastAsia="zh-CN"/>
        </w:rPr>
        <w:t>http://ggzy.pds.gov.cn/dbgxz/72277.jhtml</w:t>
      </w:r>
      <w:r>
        <w:rPr>
          <w:rFonts w:hint="eastAsia" w:ascii="宋体" w:hAnsi="宋体" w:cs="宋体"/>
          <w:sz w:val="24"/>
          <w:szCs w:val="24"/>
          <w:highlight w:val="none"/>
        </w:rPr>
        <w:t>）下载“平顶山投标文件制作系统”，按采购文件要求制作电子投标文件。</w:t>
      </w:r>
    </w:p>
    <w:p w14:paraId="38D7D0CA">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电子投标文件的制作，参考《全国公共资源交易平台(河南省▪平顶山市)》公共资源交易系统——组件下载——交易系统操作手册（投标人、供应商）。</w:t>
      </w:r>
    </w:p>
    <w:p w14:paraId="6F8EB4DD">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4.2供应商须将采购文件要求的资质、业绩、荣誉及相关人员证明材料等资料原件扫描件（或图片）制作到所提交的电子投标文件中。</w:t>
      </w:r>
    </w:p>
    <w:p w14:paraId="0124BF90">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4.3供应商对同一项目多个标段进行投标的，应分别下载所投标段的采购文件，按标段制作电子投标文件，并按采购文件要求在相应位置加盖供应商电子印章和法人电子印章。</w:t>
      </w:r>
    </w:p>
    <w:p w14:paraId="7A05FEB0">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一个标段对应生成一个文件夹（xxxx项目xx标段）, 其中包含2个文件和1个文件夹。后缀名为“.file”的文件用于电子投标使用，名称为“备份”的文件夹使用电子介质存储，供开标现场备用。</w:t>
      </w:r>
    </w:p>
    <w:p w14:paraId="4FC82E1F">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5.加密电子投标文件的提交</w:t>
      </w:r>
    </w:p>
    <w:p w14:paraId="4358A3FE">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5.1加密电子投标文件应在采购文件规定的投标截止时间（开标时间）之前成功提交至《全国公共资源交易平台(河南省▪平顶山市)》公共资源交易系统（</w:t>
      </w:r>
      <w:r>
        <w:rPr>
          <w:rFonts w:hint="eastAsia" w:ascii="宋体" w:hAnsi="宋体" w:eastAsia="宋体" w:cs="宋体"/>
          <w:sz w:val="24"/>
          <w:szCs w:val="24"/>
        </w:rPr>
        <w:t>http://ggzy.pds.gov.cn/cas/login?service=http%3A%2F%2Fggzy.pds.gov.cn%2Fywpt%2Fj_login%2Fcas</w:t>
      </w:r>
      <w:r>
        <w:rPr>
          <w:rFonts w:hint="eastAsia" w:ascii="宋体" w:hAnsi="宋体" w:cs="宋体"/>
          <w:sz w:val="24"/>
          <w:szCs w:val="24"/>
          <w:highlight w:val="none"/>
        </w:rPr>
        <w:t>）。</w:t>
      </w:r>
    </w:p>
    <w:p w14:paraId="145C3A6A">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供应商应充分考虑并预留技术处理和上传数据所需时间。</w:t>
      </w:r>
    </w:p>
    <w:p w14:paraId="72EB57CD">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5.2供应商对同一项目多个标段进行投标的，加密电子投标文件应按标段分别提交。</w:t>
      </w:r>
    </w:p>
    <w:p w14:paraId="2D66614A">
      <w:pPr>
        <w:widowControl/>
        <w:spacing w:before="226" w:line="357" w:lineRule="auto"/>
        <w:jc w:val="center"/>
        <w:rPr>
          <w:rFonts w:hint="eastAsia" w:ascii="宋体" w:hAnsi="宋体" w:cs="宋体"/>
          <w:sz w:val="24"/>
          <w:szCs w:val="24"/>
          <w:highlight w:val="none"/>
        </w:rPr>
      </w:pPr>
      <w:r>
        <w:rPr>
          <w:rFonts w:hint="eastAsia" w:ascii="宋体" w:hAnsi="宋体" w:cs="宋体"/>
          <w:b/>
          <w:kern w:val="0"/>
          <w:sz w:val="24"/>
          <w:szCs w:val="24"/>
          <w:highlight w:val="none"/>
          <w:shd w:val="clear" w:color="auto" w:fill="FFFFFF"/>
          <w:lang w:bidi="ar"/>
        </w:rPr>
        <w:br w:type="page"/>
      </w:r>
      <w:r>
        <w:rPr>
          <w:rFonts w:hint="eastAsia" w:ascii="宋体" w:hAnsi="宋体" w:cs="宋体"/>
          <w:b/>
          <w:kern w:val="0"/>
          <w:sz w:val="30"/>
          <w:szCs w:val="30"/>
          <w:highlight w:val="none"/>
          <w:shd w:val="clear" w:color="auto" w:fill="FFFFFF"/>
          <w:lang w:bidi="ar"/>
        </w:rPr>
        <w:t>“不见面”开标注意事项</w:t>
      </w:r>
    </w:p>
    <w:p w14:paraId="2CC5399D">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开标时，投标人采用网上远程异地解密时，请用CA证书登录平顶山市公共资源交易中心业务系统，进入本项目开标大厅点击解密来完成投标文件的解密工作。每位投标人的解密时间从开标时间起60分钟内完成，超过规定时间解密的投标文件不予接收。</w:t>
      </w:r>
    </w:p>
    <w:p w14:paraId="53D38DA8">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2、如出现投标人的电子投标文件无法解密的情况，投标人应及时联系招标人（代理机构）进行说明。投标文件解密异常，按以下步骤进行处理：</w:t>
      </w:r>
    </w:p>
    <w:p w14:paraId="3904A324">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（1）如果是投标文件自身问题导致投标文件无法解密的，该投标文件将不予接收、解密。</w:t>
      </w:r>
    </w:p>
    <w:p w14:paraId="4CF37C28">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（2）如果是电子化交易系统问题造成投标文件无法解密的，将由技术人员进行排查处理。如短时间内问题无法解决的，将由招标人（代理机构）联系监督部门申请暂停开标，待问题解决后继续开标。</w:t>
      </w:r>
    </w:p>
    <w:p w14:paraId="6EABCDBF">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3、所有投标文件解密完成后，由招标人（代理机构）操作，对开标结果进行公示。</w:t>
      </w:r>
    </w:p>
    <w:p w14:paraId="63595FAD">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4、投标人应保证在开标期间电话、电脑、网络等能够正常使用，投标人因停电、电脑病毒、网络堵塞等原因，未在规定的解密时间内对投标文件进行解密的，其投标文件不予接收。</w:t>
      </w:r>
    </w:p>
    <w:p w14:paraId="67A14DC0">
      <w:pPr>
        <w:spacing w:line="44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s="宋体"/>
          <w:sz w:val="24"/>
          <w:szCs w:val="24"/>
          <w:highlight w:val="none"/>
        </w:rPr>
        <w:t>5、解密完成后，投标人可登录到交易系统查看自己的投标报价。如对自己的报价内容有异议的，应在报价内容显示后20分钟内联系招标人（代理机构）进行质疑，投标人未在规定时间内提出质疑的，视为认可开标结果显示内容。</w:t>
      </w:r>
    </w:p>
    <w:p w14:paraId="0548661F">
      <w:pPr>
        <w:spacing w:line="440" w:lineRule="exact"/>
        <w:ind w:firstLine="420" w:firstLineChars="200"/>
        <w:rPr>
          <w:rFonts w:hint="eastAsia" w:ascii="宋体" w:hAnsi="宋体"/>
          <w:color w:val="000000" w:themeColor="text1"/>
          <w:highlight w:val="none"/>
          <w14:textFill>
            <w14:solidFill>
              <w14:schemeClr w14:val="tx1"/>
            </w14:solidFill>
          </w14:textFill>
        </w:rPr>
      </w:pPr>
    </w:p>
    <w:p w14:paraId="097CDE84">
      <w:pPr>
        <w:spacing w:line="440" w:lineRule="exact"/>
        <w:ind w:firstLine="480" w:firstLineChars="200"/>
        <w:jc w:val="left"/>
        <w:rPr>
          <w:rFonts w:hint="eastAsia" w:ascii="宋体" w:hAnsi="宋体"/>
          <w:color w:val="000000" w:themeColor="text1"/>
          <w:kern w:val="0"/>
          <w:sz w:val="24"/>
          <w:highlight w:val="none"/>
          <w14:textFill>
            <w14:solidFill>
              <w14:schemeClr w14:val="tx1"/>
            </w14:solidFill>
          </w14:textFill>
        </w:rPr>
      </w:pPr>
    </w:p>
    <w:p w14:paraId="230FD1BB">
      <w:pPr>
        <w:rPr>
          <w:color w:val="000000" w:themeColor="text1"/>
          <w:highlight w:val="none"/>
          <w14:textFill>
            <w14:solidFill>
              <w14:schemeClr w14:val="tx1"/>
            </w14:solidFill>
          </w14:textFill>
        </w:rPr>
      </w:pPr>
    </w:p>
    <w:p w14:paraId="4A1EAD90">
      <w:pPr>
        <w:rPr>
          <w:color w:val="000000" w:themeColor="text1"/>
          <w:highlight w:val="none"/>
          <w14:textFill>
            <w14:solidFill>
              <w14:schemeClr w14:val="tx1"/>
            </w14:solidFill>
          </w14:textFill>
        </w:rPr>
      </w:pPr>
    </w:p>
    <w:p w14:paraId="3EBA94F8">
      <w:pPr>
        <w:rPr>
          <w:color w:val="000000" w:themeColor="text1"/>
          <w:highlight w:val="none"/>
          <w14:textFill>
            <w14:solidFill>
              <w14:schemeClr w14:val="tx1"/>
            </w14:solidFill>
          </w14:textFill>
        </w:rPr>
      </w:pPr>
    </w:p>
    <w:p w14:paraId="2FF2F565">
      <w:pPr>
        <w:rPr>
          <w:color w:val="000000" w:themeColor="text1"/>
          <w:highlight w:val="none"/>
          <w14:textFill>
            <w14:solidFill>
              <w14:schemeClr w14:val="tx1"/>
            </w14:solidFill>
          </w14:textFill>
        </w:rPr>
      </w:pPr>
    </w:p>
    <w:p w14:paraId="3E4F80DE">
      <w:pPr>
        <w:rPr>
          <w:color w:val="000000" w:themeColor="text1"/>
          <w:highlight w:val="none"/>
          <w14:textFill>
            <w14:solidFill>
              <w14:schemeClr w14:val="tx1"/>
            </w14:solidFill>
          </w14:textFill>
        </w:rPr>
      </w:pPr>
    </w:p>
    <w:p w14:paraId="4A6AFE54">
      <w:pPr>
        <w:rPr>
          <w:color w:val="000000" w:themeColor="text1"/>
          <w:highlight w:val="none"/>
          <w14:textFill>
            <w14:solidFill>
              <w14:schemeClr w14:val="tx1"/>
            </w14:solidFill>
          </w14:textFill>
        </w:rPr>
      </w:pPr>
    </w:p>
    <w:bookmarkEnd w:id="6"/>
    <w:p w14:paraId="27310541">
      <w:pPr>
        <w:jc w:val="center"/>
        <w:outlineLvl w:val="0"/>
        <w:rPr>
          <w:rFonts w:hint="eastAsia" w:ascii="宋体" w:hAnsi="宋体"/>
          <w:b/>
          <w:bCs/>
          <w:color w:val="000000" w:themeColor="text1"/>
          <w:kern w:val="44"/>
          <w:sz w:val="36"/>
          <w:szCs w:val="36"/>
          <w:highlight w:val="none"/>
          <w14:textFill>
            <w14:solidFill>
              <w14:schemeClr w14:val="tx1"/>
            </w14:solidFill>
          </w14:textFill>
        </w:rPr>
      </w:pPr>
      <w:bookmarkStart w:id="7" w:name="_Toc318932192"/>
      <w:bookmarkStart w:id="8" w:name="_Toc294794565"/>
      <w:bookmarkStart w:id="9" w:name="_Toc26011"/>
      <w:r>
        <w:rPr>
          <w:rFonts w:hint="eastAsia" w:ascii="宋体" w:hAnsi="宋体"/>
          <w:b/>
          <w:bCs/>
          <w:color w:val="000000" w:themeColor="text1"/>
          <w:kern w:val="44"/>
          <w:sz w:val="36"/>
          <w:szCs w:val="36"/>
          <w:highlight w:val="none"/>
          <w14:textFill>
            <w14:solidFill>
              <w14:schemeClr w14:val="tx1"/>
            </w14:solidFill>
          </w14:textFill>
        </w:rPr>
        <w:br w:type="page"/>
      </w:r>
      <w:bookmarkStart w:id="10" w:name="_Toc22436"/>
      <w:r>
        <w:rPr>
          <w:rFonts w:hint="eastAsia" w:ascii="宋体" w:hAnsi="宋体"/>
          <w:b/>
          <w:bCs/>
          <w:color w:val="000000" w:themeColor="text1"/>
          <w:kern w:val="44"/>
          <w:sz w:val="36"/>
          <w:szCs w:val="36"/>
          <w:highlight w:val="none"/>
          <w14:textFill>
            <w14:solidFill>
              <w14:schemeClr w14:val="tx1"/>
            </w14:solidFill>
          </w14:textFill>
        </w:rPr>
        <w:t xml:space="preserve">第二章  </w:t>
      </w:r>
      <w:r>
        <w:rPr>
          <w:rFonts w:hint="eastAsia" w:ascii="宋体" w:hAnsi="宋体"/>
          <w:b/>
          <w:bCs/>
          <w:color w:val="000000" w:themeColor="text1"/>
          <w:kern w:val="44"/>
          <w:sz w:val="36"/>
          <w:szCs w:val="36"/>
          <w:highlight w:val="none"/>
          <w:lang w:eastAsia="zh-CN"/>
          <w14:textFill>
            <w14:solidFill>
              <w14:schemeClr w14:val="tx1"/>
            </w14:solidFill>
          </w14:textFill>
        </w:rPr>
        <w:t>供应商</w:t>
      </w:r>
      <w:r>
        <w:rPr>
          <w:rFonts w:hint="eastAsia" w:ascii="宋体" w:hAnsi="宋体"/>
          <w:b/>
          <w:bCs/>
          <w:color w:val="000000" w:themeColor="text1"/>
          <w:kern w:val="44"/>
          <w:sz w:val="36"/>
          <w:szCs w:val="36"/>
          <w:highlight w:val="none"/>
          <w14:textFill>
            <w14:solidFill>
              <w14:schemeClr w14:val="tx1"/>
            </w14:solidFill>
          </w14:textFill>
        </w:rPr>
        <w:t>须知</w:t>
      </w:r>
      <w:bookmarkEnd w:id="10"/>
    </w:p>
    <w:bookmarkEnd w:id="7"/>
    <w:bookmarkEnd w:id="8"/>
    <w:bookmarkEnd w:id="9"/>
    <w:p w14:paraId="760FE189">
      <w:pPr>
        <w:jc w:val="center"/>
        <w:outlineLvl w:val="1"/>
        <w:rPr>
          <w:rStyle w:val="39"/>
          <w:rFonts w:hint="eastAsia" w:ascii="宋体" w:hAnsi="宋体" w:eastAsia="宋体"/>
          <w:color w:val="000000" w:themeColor="text1"/>
          <w:highlight w:val="none"/>
          <w14:textFill>
            <w14:solidFill>
              <w14:schemeClr w14:val="tx1"/>
            </w14:solidFill>
          </w14:textFill>
        </w:rPr>
      </w:pPr>
      <w:bookmarkStart w:id="11" w:name="_Toc20373"/>
      <w:bookmarkStart w:id="12" w:name="_Toc17311"/>
      <w:r>
        <w:rPr>
          <w:rStyle w:val="39"/>
          <w:rFonts w:hint="eastAsia" w:ascii="宋体" w:hAnsi="宋体" w:eastAsia="宋体"/>
          <w:color w:val="000000" w:themeColor="text1"/>
          <w:highlight w:val="none"/>
          <w14:textFill>
            <w14:solidFill>
              <w14:schemeClr w14:val="tx1"/>
            </w14:solidFill>
          </w14:textFill>
        </w:rPr>
        <w:t>一．</w:t>
      </w:r>
      <w:r>
        <w:rPr>
          <w:rStyle w:val="39"/>
          <w:rFonts w:hint="eastAsia" w:ascii="宋体" w:hAnsi="宋体"/>
          <w:color w:val="000000" w:themeColor="text1"/>
          <w:highlight w:val="none"/>
          <w14:textFill>
            <w14:solidFill>
              <w14:schemeClr w14:val="tx1"/>
            </w14:solidFill>
          </w14:textFill>
        </w:rPr>
        <w:t>供应商</w:t>
      </w:r>
      <w:r>
        <w:rPr>
          <w:rStyle w:val="39"/>
          <w:rFonts w:hint="eastAsia" w:ascii="宋体" w:hAnsi="宋体" w:eastAsia="宋体"/>
          <w:color w:val="000000" w:themeColor="text1"/>
          <w:highlight w:val="none"/>
          <w14:textFill>
            <w14:solidFill>
              <w14:schemeClr w14:val="tx1"/>
            </w14:solidFill>
          </w14:textFill>
        </w:rPr>
        <w:t>须知前附表</w:t>
      </w:r>
      <w:bookmarkEnd w:id="11"/>
      <w:bookmarkEnd w:id="12"/>
    </w:p>
    <w:tbl>
      <w:tblPr>
        <w:tblStyle w:val="22"/>
        <w:tblW w:w="924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962"/>
        <w:gridCol w:w="2155"/>
        <w:gridCol w:w="6131"/>
      </w:tblGrid>
      <w:tr w14:paraId="6F524B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962" w:type="dxa"/>
            <w:vAlign w:val="center"/>
          </w:tcPr>
          <w:p w14:paraId="342CA644">
            <w:pPr>
              <w:widowControl w:val="0"/>
              <w:autoSpaceDE w:val="0"/>
              <w:autoSpaceDN w:val="0"/>
              <w:spacing w:before="50" w:line="440" w:lineRule="exact"/>
              <w:ind w:right="35"/>
              <w:jc w:val="center"/>
              <w:rPr>
                <w:rFonts w:hint="eastAsia" w:ascii="宋体" w:hAnsi="宋体" w:cs="宋体"/>
                <w:b/>
                <w:color w:val="000000" w:themeColor="text1"/>
                <w:spacing w:val="1"/>
                <w:kern w:val="0"/>
                <w:highlight w:val="none"/>
                <w14:textFill>
                  <w14:solidFill>
                    <w14:schemeClr w14:val="tx1"/>
                  </w14:solidFill>
                </w14:textFill>
              </w:rPr>
            </w:pPr>
            <w:r>
              <w:rPr>
                <w:rFonts w:hint="eastAsia" w:ascii="宋体" w:hAnsi="宋体" w:cs="宋体"/>
                <w:b/>
                <w:color w:val="000000" w:themeColor="text1"/>
                <w:spacing w:val="1"/>
                <w:kern w:val="0"/>
                <w:highlight w:val="none"/>
                <w14:textFill>
                  <w14:solidFill>
                    <w14:schemeClr w14:val="tx1"/>
                  </w14:solidFill>
                </w14:textFill>
              </w:rPr>
              <w:t>条款号</w:t>
            </w:r>
          </w:p>
        </w:tc>
        <w:tc>
          <w:tcPr>
            <w:tcW w:w="2155" w:type="dxa"/>
            <w:vAlign w:val="center"/>
          </w:tcPr>
          <w:p w14:paraId="2F3BAC47">
            <w:pPr>
              <w:widowControl w:val="0"/>
              <w:autoSpaceDE w:val="0"/>
              <w:autoSpaceDN w:val="0"/>
              <w:spacing w:before="50" w:line="440" w:lineRule="exact"/>
              <w:ind w:right="35"/>
              <w:jc w:val="center"/>
              <w:rPr>
                <w:rFonts w:hint="eastAsia" w:ascii="宋体" w:hAnsi="宋体" w:cs="宋体"/>
                <w:b/>
                <w:color w:val="000000" w:themeColor="text1"/>
                <w:spacing w:val="1"/>
                <w:kern w:val="0"/>
                <w:highlight w:val="none"/>
                <w14:textFill>
                  <w14:solidFill>
                    <w14:schemeClr w14:val="tx1"/>
                  </w14:solidFill>
                </w14:textFill>
              </w:rPr>
            </w:pPr>
            <w:r>
              <w:rPr>
                <w:rFonts w:hint="eastAsia" w:ascii="宋体" w:hAnsi="宋体" w:cs="宋体"/>
                <w:b/>
                <w:color w:val="000000" w:themeColor="text1"/>
                <w:spacing w:val="1"/>
                <w:kern w:val="0"/>
                <w:highlight w:val="none"/>
                <w14:textFill>
                  <w14:solidFill>
                    <w14:schemeClr w14:val="tx1"/>
                  </w14:solidFill>
                </w14:textFill>
              </w:rPr>
              <w:t>条款名称</w:t>
            </w:r>
          </w:p>
        </w:tc>
        <w:tc>
          <w:tcPr>
            <w:tcW w:w="6131" w:type="dxa"/>
            <w:vAlign w:val="center"/>
          </w:tcPr>
          <w:p w14:paraId="635B497A">
            <w:pPr>
              <w:widowControl w:val="0"/>
              <w:autoSpaceDE w:val="0"/>
              <w:autoSpaceDN w:val="0"/>
              <w:spacing w:before="50" w:line="440" w:lineRule="exact"/>
              <w:ind w:right="35"/>
              <w:jc w:val="center"/>
              <w:rPr>
                <w:rFonts w:hint="eastAsia" w:ascii="宋体" w:hAnsi="宋体" w:cs="宋体"/>
                <w:b/>
                <w:color w:val="000000" w:themeColor="text1"/>
                <w:spacing w:val="1"/>
                <w:kern w:val="0"/>
                <w:highlight w:val="none"/>
                <w14:textFill>
                  <w14:solidFill>
                    <w14:schemeClr w14:val="tx1"/>
                  </w14:solidFill>
                </w14:textFill>
              </w:rPr>
            </w:pPr>
            <w:r>
              <w:rPr>
                <w:rFonts w:hint="eastAsia" w:ascii="宋体" w:hAnsi="宋体" w:cs="宋体"/>
                <w:b/>
                <w:color w:val="000000" w:themeColor="text1"/>
                <w:spacing w:val="1"/>
                <w:kern w:val="0"/>
                <w:highlight w:val="none"/>
                <w14:textFill>
                  <w14:solidFill>
                    <w14:schemeClr w14:val="tx1"/>
                  </w14:solidFill>
                </w14:textFill>
              </w:rPr>
              <w:t>编 列 内 容</w:t>
            </w:r>
          </w:p>
        </w:tc>
      </w:tr>
      <w:tr w14:paraId="53876C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62" w:type="dxa"/>
            <w:vAlign w:val="center"/>
          </w:tcPr>
          <w:p w14:paraId="2A4F551C">
            <w:pPr>
              <w:widowControl w:val="0"/>
              <w:autoSpaceDE w:val="0"/>
              <w:autoSpaceDN w:val="0"/>
              <w:spacing w:before="50" w:line="440" w:lineRule="exact"/>
              <w:ind w:right="-20"/>
              <w:jc w:val="center"/>
              <w:rPr>
                <w:rFonts w:hint="eastAsia" w:ascii="宋体" w:hAnsi="宋体" w:cs="宋体"/>
                <w:color w:val="000000" w:themeColor="text1"/>
                <w:spacing w:val="1"/>
                <w:kern w:val="0"/>
                <w:highlight w:val="none"/>
                <w14:textFill>
                  <w14:solidFill>
                    <w14:schemeClr w14:val="tx1"/>
                  </w14:solidFill>
                </w14:textFill>
              </w:rPr>
            </w:pPr>
            <w:r>
              <w:rPr>
                <w:rFonts w:hint="eastAsia" w:ascii="宋体" w:hAnsi="宋体" w:cs="宋体"/>
                <w:color w:val="000000" w:themeColor="text1"/>
                <w:spacing w:val="1"/>
                <w:kern w:val="0"/>
                <w:highlight w:val="none"/>
                <w14:textFill>
                  <w14:solidFill>
                    <w14:schemeClr w14:val="tx1"/>
                  </w14:solidFill>
                </w14:textFill>
              </w:rPr>
              <w:t>1</w:t>
            </w:r>
          </w:p>
        </w:tc>
        <w:tc>
          <w:tcPr>
            <w:tcW w:w="2155" w:type="dxa"/>
            <w:vAlign w:val="center"/>
          </w:tcPr>
          <w:p w14:paraId="4A9FDC73">
            <w:pPr>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采购人</w:t>
            </w:r>
          </w:p>
        </w:tc>
        <w:tc>
          <w:tcPr>
            <w:tcW w:w="6131" w:type="dxa"/>
            <w:vAlign w:val="center"/>
          </w:tcPr>
          <w:p w14:paraId="0CA8FC4F">
            <w:pPr>
              <w:spacing w:line="440" w:lineRule="exact"/>
              <w:jc w:val="lef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名称：</w:t>
            </w:r>
            <w:r>
              <w:rPr>
                <w:rFonts w:hint="eastAsia" w:ascii="宋体" w:hAnsi="宋体" w:cs="宋体"/>
                <w:color w:val="000000" w:themeColor="text1"/>
                <w:highlight w:val="none"/>
                <w:lang w:eastAsia="zh-CN"/>
                <w14:textFill>
                  <w14:solidFill>
                    <w14:schemeClr w14:val="tx1"/>
                  </w14:solidFill>
                </w14:textFill>
              </w:rPr>
              <w:t>平顶山市工业学校</w:t>
            </w:r>
          </w:p>
          <w:p w14:paraId="59C0C79E">
            <w:pPr>
              <w:spacing w:line="440" w:lineRule="exact"/>
              <w:jc w:val="lef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地址：</w:t>
            </w:r>
            <w:r>
              <w:rPr>
                <w:rFonts w:hint="eastAsia" w:ascii="宋体" w:hAnsi="宋体" w:cs="宋体"/>
                <w:color w:val="000000" w:themeColor="text1"/>
                <w:highlight w:val="none"/>
                <w:lang w:eastAsia="zh-CN"/>
                <w14:textFill>
                  <w14:solidFill>
                    <w14:schemeClr w14:val="tx1"/>
                  </w14:solidFill>
                </w14:textFill>
              </w:rPr>
              <w:t>湛河区湛河南路与茂源街交叉口东南100米</w:t>
            </w:r>
          </w:p>
          <w:p w14:paraId="547BDEA3">
            <w:pPr>
              <w:spacing w:line="440" w:lineRule="exact"/>
              <w:jc w:val="left"/>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联系人：郭先生</w:t>
            </w:r>
          </w:p>
          <w:p w14:paraId="44C058FB">
            <w:pPr>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 xml:space="preserve">联系方式：15093801555 </w:t>
            </w:r>
          </w:p>
        </w:tc>
      </w:tr>
      <w:tr w14:paraId="4048D1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95" w:hRule="atLeast"/>
          <w:jc w:val="center"/>
        </w:trPr>
        <w:tc>
          <w:tcPr>
            <w:tcW w:w="962" w:type="dxa"/>
            <w:vAlign w:val="center"/>
          </w:tcPr>
          <w:p w14:paraId="4280C3A8">
            <w:pPr>
              <w:widowControl w:val="0"/>
              <w:autoSpaceDE w:val="0"/>
              <w:autoSpaceDN w:val="0"/>
              <w:spacing w:before="50" w:line="440" w:lineRule="exact"/>
              <w:ind w:right="-20"/>
              <w:jc w:val="center"/>
              <w:rPr>
                <w:rFonts w:hint="eastAsia" w:ascii="宋体" w:hAnsi="宋体" w:cs="宋体"/>
                <w:color w:val="000000" w:themeColor="text1"/>
                <w:spacing w:val="1"/>
                <w:kern w:val="0"/>
                <w:highlight w:val="none"/>
                <w14:textFill>
                  <w14:solidFill>
                    <w14:schemeClr w14:val="tx1"/>
                  </w14:solidFill>
                </w14:textFill>
              </w:rPr>
            </w:pPr>
            <w:r>
              <w:rPr>
                <w:rFonts w:hint="eastAsia" w:ascii="宋体" w:hAnsi="宋体" w:cs="宋体"/>
                <w:color w:val="000000" w:themeColor="text1"/>
                <w:spacing w:val="1"/>
                <w:kern w:val="0"/>
                <w:highlight w:val="none"/>
                <w14:textFill>
                  <w14:solidFill>
                    <w14:schemeClr w14:val="tx1"/>
                  </w14:solidFill>
                </w14:textFill>
              </w:rPr>
              <w:t>2</w:t>
            </w:r>
          </w:p>
        </w:tc>
        <w:tc>
          <w:tcPr>
            <w:tcW w:w="2155" w:type="dxa"/>
            <w:vAlign w:val="center"/>
          </w:tcPr>
          <w:p w14:paraId="493BC3A7">
            <w:pPr>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代理机构</w:t>
            </w:r>
          </w:p>
        </w:tc>
        <w:tc>
          <w:tcPr>
            <w:tcW w:w="6131" w:type="dxa"/>
            <w:vAlign w:val="center"/>
          </w:tcPr>
          <w:p w14:paraId="4E5C592B">
            <w:pPr>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名称：河南荣之鑫工程管理有限公司</w:t>
            </w:r>
          </w:p>
          <w:p w14:paraId="01CF6C9F">
            <w:pPr>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地址:平顶山市和顺路公园南门嘉荷天城0326003号</w:t>
            </w:r>
          </w:p>
          <w:p w14:paraId="49EE48B0">
            <w:pPr>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联系人：张先生</w:t>
            </w:r>
          </w:p>
          <w:p w14:paraId="69475C59">
            <w:pPr>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联系方式：17737565013</w:t>
            </w:r>
          </w:p>
        </w:tc>
      </w:tr>
      <w:tr w14:paraId="10984B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5" w:hRule="exact"/>
          <w:jc w:val="center"/>
        </w:trPr>
        <w:tc>
          <w:tcPr>
            <w:tcW w:w="962" w:type="dxa"/>
            <w:vAlign w:val="center"/>
          </w:tcPr>
          <w:p w14:paraId="4340ADC4">
            <w:pPr>
              <w:widowControl w:val="0"/>
              <w:autoSpaceDE w:val="0"/>
              <w:autoSpaceDN w:val="0"/>
              <w:spacing w:before="50" w:line="440" w:lineRule="exact"/>
              <w:ind w:right="-20"/>
              <w:jc w:val="center"/>
              <w:rPr>
                <w:rFonts w:hint="eastAsia" w:ascii="宋体" w:hAnsi="宋体" w:cs="宋体"/>
                <w:color w:val="000000" w:themeColor="text1"/>
                <w:spacing w:val="1"/>
                <w:kern w:val="0"/>
                <w:highlight w:val="none"/>
                <w14:textFill>
                  <w14:solidFill>
                    <w14:schemeClr w14:val="tx1"/>
                  </w14:solidFill>
                </w14:textFill>
              </w:rPr>
            </w:pPr>
            <w:r>
              <w:rPr>
                <w:rFonts w:hint="eastAsia" w:ascii="宋体" w:hAnsi="宋体" w:cs="宋体"/>
                <w:color w:val="000000" w:themeColor="text1"/>
                <w:spacing w:val="1"/>
                <w:kern w:val="0"/>
                <w:highlight w:val="none"/>
                <w14:textFill>
                  <w14:solidFill>
                    <w14:schemeClr w14:val="tx1"/>
                  </w14:solidFill>
                </w14:textFill>
              </w:rPr>
              <w:t>3</w:t>
            </w:r>
          </w:p>
        </w:tc>
        <w:tc>
          <w:tcPr>
            <w:tcW w:w="2155" w:type="dxa"/>
            <w:vAlign w:val="center"/>
          </w:tcPr>
          <w:p w14:paraId="09B0E6E5">
            <w:pPr>
              <w:spacing w:line="440" w:lineRule="exact"/>
              <w:jc w:val="center"/>
              <w:rPr>
                <w:rFonts w:hint="eastAsia"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项目名称</w:t>
            </w:r>
          </w:p>
        </w:tc>
        <w:tc>
          <w:tcPr>
            <w:tcW w:w="6131" w:type="dxa"/>
            <w:vAlign w:val="center"/>
          </w:tcPr>
          <w:p w14:paraId="4E2050E5">
            <w:pPr>
              <w:spacing w:line="440" w:lineRule="exact"/>
              <w:jc w:val="lef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平顶山市工业学校新媒体营销实训系统及实训室建设项目</w:t>
            </w:r>
          </w:p>
        </w:tc>
      </w:tr>
      <w:tr w14:paraId="3FEE50C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7" w:hRule="exact"/>
          <w:jc w:val="center"/>
        </w:trPr>
        <w:tc>
          <w:tcPr>
            <w:tcW w:w="962" w:type="dxa"/>
            <w:vAlign w:val="center"/>
          </w:tcPr>
          <w:p w14:paraId="2A200FC4">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w:t>
            </w:r>
          </w:p>
        </w:tc>
        <w:tc>
          <w:tcPr>
            <w:tcW w:w="2155" w:type="dxa"/>
            <w:vAlign w:val="center"/>
          </w:tcPr>
          <w:p w14:paraId="2A939617">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资金来源及落实情况</w:t>
            </w:r>
          </w:p>
        </w:tc>
        <w:tc>
          <w:tcPr>
            <w:tcW w:w="6131" w:type="dxa"/>
            <w:vAlign w:val="center"/>
          </w:tcPr>
          <w:p w14:paraId="7143706A">
            <w:pPr>
              <w:widowControl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财政资金，已落实。</w:t>
            </w:r>
          </w:p>
        </w:tc>
      </w:tr>
      <w:tr w14:paraId="5743E9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89" w:hRule="exact"/>
          <w:jc w:val="center"/>
        </w:trPr>
        <w:tc>
          <w:tcPr>
            <w:tcW w:w="962" w:type="dxa"/>
            <w:vAlign w:val="center"/>
          </w:tcPr>
          <w:p w14:paraId="76CDC6D3">
            <w:pPr>
              <w:widowControl w:val="0"/>
              <w:autoSpaceDE w:val="0"/>
              <w:autoSpaceDN w:val="0"/>
              <w:spacing w:before="50" w:line="440" w:lineRule="exact"/>
              <w:ind w:right="-20"/>
              <w:jc w:val="center"/>
              <w:rPr>
                <w:rFonts w:hint="eastAsia" w:ascii="宋体" w:hAnsi="宋体" w:cs="宋体"/>
                <w:color w:val="000000" w:themeColor="text1"/>
                <w:spacing w:val="1"/>
                <w:kern w:val="0"/>
                <w:highlight w:val="none"/>
                <w14:textFill>
                  <w14:solidFill>
                    <w14:schemeClr w14:val="tx1"/>
                  </w14:solidFill>
                </w14:textFill>
              </w:rPr>
            </w:pPr>
            <w:r>
              <w:rPr>
                <w:rFonts w:hint="eastAsia" w:ascii="宋体" w:hAnsi="宋体" w:cs="宋体"/>
                <w:color w:val="000000" w:themeColor="text1"/>
                <w:spacing w:val="1"/>
                <w:kern w:val="0"/>
                <w:highlight w:val="none"/>
                <w14:textFill>
                  <w14:solidFill>
                    <w14:schemeClr w14:val="tx1"/>
                  </w14:solidFill>
                </w14:textFill>
              </w:rPr>
              <w:t>5</w:t>
            </w:r>
          </w:p>
        </w:tc>
        <w:tc>
          <w:tcPr>
            <w:tcW w:w="2155" w:type="dxa"/>
            <w:vAlign w:val="center"/>
          </w:tcPr>
          <w:p w14:paraId="57F18FF7">
            <w:pPr>
              <w:spacing w:line="440" w:lineRule="exact"/>
              <w:jc w:val="center"/>
              <w:rPr>
                <w:rFonts w:hint="eastAsia" w:ascii="宋体" w:hAnsi="宋体" w:cs="宋体"/>
                <w:bCs/>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采购内容</w:t>
            </w:r>
          </w:p>
        </w:tc>
        <w:tc>
          <w:tcPr>
            <w:tcW w:w="6131" w:type="dxa"/>
            <w:vAlign w:val="center"/>
          </w:tcPr>
          <w:p w14:paraId="7D471850">
            <w:pPr>
              <w:widowControl w:val="0"/>
              <w:spacing w:line="44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该项目建设将解决电子商务实训教学问题，满足该专业在校学生的实操练习，让学生掌握必备的实操技能；还可用于开展电子商务运营相关竞赛活动，提升学校竞赛水平。</w:t>
            </w:r>
          </w:p>
        </w:tc>
      </w:tr>
      <w:tr w14:paraId="4BD57C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0" w:hRule="exact"/>
          <w:jc w:val="center"/>
        </w:trPr>
        <w:tc>
          <w:tcPr>
            <w:tcW w:w="962" w:type="dxa"/>
            <w:vAlign w:val="center"/>
          </w:tcPr>
          <w:p w14:paraId="3CB8E385">
            <w:pPr>
              <w:widowControl w:val="0"/>
              <w:autoSpaceDE w:val="0"/>
              <w:autoSpaceDN w:val="0"/>
              <w:spacing w:before="50" w:line="440" w:lineRule="exact"/>
              <w:ind w:right="-20"/>
              <w:jc w:val="center"/>
              <w:rPr>
                <w:rFonts w:hint="eastAsia" w:ascii="宋体" w:hAnsi="宋体" w:cs="宋体"/>
                <w:color w:val="000000" w:themeColor="text1"/>
                <w:spacing w:val="1"/>
                <w:kern w:val="0"/>
                <w:highlight w:val="none"/>
                <w14:textFill>
                  <w14:solidFill>
                    <w14:schemeClr w14:val="tx1"/>
                  </w14:solidFill>
                </w14:textFill>
              </w:rPr>
            </w:pPr>
            <w:r>
              <w:rPr>
                <w:rFonts w:hint="eastAsia" w:ascii="宋体" w:hAnsi="宋体" w:cs="宋体"/>
                <w:color w:val="000000" w:themeColor="text1"/>
                <w:spacing w:val="1"/>
                <w:kern w:val="0"/>
                <w:highlight w:val="none"/>
                <w14:textFill>
                  <w14:solidFill>
                    <w14:schemeClr w14:val="tx1"/>
                  </w14:solidFill>
                </w14:textFill>
              </w:rPr>
              <w:t>6</w:t>
            </w:r>
          </w:p>
        </w:tc>
        <w:tc>
          <w:tcPr>
            <w:tcW w:w="2155" w:type="dxa"/>
            <w:vAlign w:val="center"/>
          </w:tcPr>
          <w:p w14:paraId="35EE53E3">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采购方式</w:t>
            </w:r>
          </w:p>
        </w:tc>
        <w:tc>
          <w:tcPr>
            <w:tcW w:w="6131" w:type="dxa"/>
            <w:vAlign w:val="center"/>
          </w:tcPr>
          <w:p w14:paraId="4ABBC533">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公开招标</w:t>
            </w:r>
          </w:p>
        </w:tc>
      </w:tr>
      <w:tr w14:paraId="65A432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0" w:hRule="exact"/>
          <w:jc w:val="center"/>
        </w:trPr>
        <w:tc>
          <w:tcPr>
            <w:tcW w:w="962" w:type="dxa"/>
            <w:vAlign w:val="center"/>
          </w:tcPr>
          <w:p w14:paraId="4AF80E70">
            <w:pPr>
              <w:widowControl w:val="0"/>
              <w:autoSpaceDE w:val="0"/>
              <w:autoSpaceDN w:val="0"/>
              <w:spacing w:before="50" w:line="440" w:lineRule="exact"/>
              <w:ind w:right="-20"/>
              <w:jc w:val="center"/>
              <w:rPr>
                <w:rFonts w:hint="eastAsia" w:ascii="宋体" w:hAnsi="宋体" w:cs="宋体"/>
                <w:color w:val="000000" w:themeColor="text1"/>
                <w:spacing w:val="1"/>
                <w:kern w:val="0"/>
                <w:highlight w:val="none"/>
                <w14:textFill>
                  <w14:solidFill>
                    <w14:schemeClr w14:val="tx1"/>
                  </w14:solidFill>
                </w14:textFill>
              </w:rPr>
            </w:pPr>
            <w:r>
              <w:rPr>
                <w:rFonts w:hint="eastAsia" w:ascii="宋体" w:hAnsi="宋体" w:cs="宋体"/>
                <w:color w:val="000000" w:themeColor="text1"/>
                <w:spacing w:val="1"/>
                <w:kern w:val="0"/>
                <w:highlight w:val="none"/>
                <w14:textFill>
                  <w14:solidFill>
                    <w14:schemeClr w14:val="tx1"/>
                  </w14:solidFill>
                </w14:textFill>
              </w:rPr>
              <w:t>7</w:t>
            </w:r>
          </w:p>
        </w:tc>
        <w:tc>
          <w:tcPr>
            <w:tcW w:w="2155" w:type="dxa"/>
            <w:vAlign w:val="center"/>
          </w:tcPr>
          <w:p w14:paraId="19154BE5">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采购项目属性</w:t>
            </w:r>
          </w:p>
        </w:tc>
        <w:tc>
          <w:tcPr>
            <w:tcW w:w="6131" w:type="dxa"/>
            <w:vAlign w:val="center"/>
          </w:tcPr>
          <w:p w14:paraId="2A168A3C">
            <w:pPr>
              <w:widowControl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sym w:font="Wingdings 2" w:char="0052"/>
            </w:r>
            <w:r>
              <w:rPr>
                <w:rFonts w:hint="eastAsia" w:ascii="宋体" w:hAnsi="宋体" w:cs="宋体"/>
                <w:color w:val="000000" w:themeColor="text1"/>
                <w:highlight w:val="none"/>
                <w14:textFill>
                  <w14:solidFill>
                    <w14:schemeClr w14:val="tx1"/>
                  </w14:solidFill>
                </w14:textFill>
              </w:rPr>
              <w:t>货物      □服务       □工程</w:t>
            </w:r>
          </w:p>
        </w:tc>
      </w:tr>
      <w:tr w14:paraId="0F022E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0" w:hRule="exact"/>
          <w:jc w:val="center"/>
        </w:trPr>
        <w:tc>
          <w:tcPr>
            <w:tcW w:w="962" w:type="dxa"/>
            <w:vAlign w:val="center"/>
          </w:tcPr>
          <w:p w14:paraId="1F6FB9A7">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w:t>
            </w:r>
          </w:p>
        </w:tc>
        <w:tc>
          <w:tcPr>
            <w:tcW w:w="2155" w:type="dxa"/>
            <w:vAlign w:val="center"/>
          </w:tcPr>
          <w:p w14:paraId="5C9E2AF8">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合同履行期限</w:t>
            </w:r>
          </w:p>
        </w:tc>
        <w:tc>
          <w:tcPr>
            <w:tcW w:w="6131" w:type="dxa"/>
            <w:vAlign w:val="center"/>
          </w:tcPr>
          <w:p w14:paraId="7FF2C9BD">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同交货及安装期</w:t>
            </w:r>
          </w:p>
        </w:tc>
      </w:tr>
      <w:tr w14:paraId="36FF37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3" w:hRule="exact"/>
          <w:jc w:val="center"/>
        </w:trPr>
        <w:tc>
          <w:tcPr>
            <w:tcW w:w="962" w:type="dxa"/>
            <w:vAlign w:val="center"/>
          </w:tcPr>
          <w:p w14:paraId="4042C7CB">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p>
        </w:tc>
        <w:tc>
          <w:tcPr>
            <w:tcW w:w="2155" w:type="dxa"/>
            <w:vAlign w:val="center"/>
          </w:tcPr>
          <w:p w14:paraId="765C6921">
            <w:pPr>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交货及安装期</w:t>
            </w:r>
          </w:p>
        </w:tc>
        <w:tc>
          <w:tcPr>
            <w:tcW w:w="6131" w:type="dxa"/>
            <w:vAlign w:val="center"/>
          </w:tcPr>
          <w:p w14:paraId="4863559B">
            <w:pPr>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合同签订之日起</w:t>
            </w:r>
            <w:r>
              <w:rPr>
                <w:rFonts w:hint="eastAsia" w:ascii="宋体" w:hAnsi="宋体" w:cs="宋体"/>
                <w:color w:val="000000" w:themeColor="text1"/>
                <w:highlight w:val="none"/>
                <w:lang w:val="en-US" w:eastAsia="zh-CN"/>
                <w14:textFill>
                  <w14:solidFill>
                    <w14:schemeClr w14:val="tx1"/>
                  </w14:solidFill>
                </w14:textFill>
              </w:rPr>
              <w:t>20</w:t>
            </w:r>
            <w:r>
              <w:rPr>
                <w:rFonts w:hint="eastAsia" w:ascii="宋体" w:hAnsi="宋体" w:cs="宋体"/>
                <w:color w:val="000000" w:themeColor="text1"/>
                <w:highlight w:val="none"/>
                <w:lang w:eastAsia="zh-CN"/>
                <w14:textFill>
                  <w14:solidFill>
                    <w14:schemeClr w14:val="tx1"/>
                  </w14:solidFill>
                </w14:textFill>
              </w:rPr>
              <w:t>日历天</w:t>
            </w:r>
            <w:r>
              <w:rPr>
                <w:rFonts w:hint="eastAsia" w:ascii="宋体" w:hAnsi="宋体" w:cs="宋体"/>
                <w:color w:val="000000" w:themeColor="text1"/>
                <w:highlight w:val="none"/>
                <w14:textFill>
                  <w14:solidFill>
                    <w14:schemeClr w14:val="tx1"/>
                  </w14:solidFill>
                </w14:textFill>
              </w:rPr>
              <w:t>内安装调试完毕、交付使用</w:t>
            </w:r>
          </w:p>
        </w:tc>
      </w:tr>
      <w:tr w14:paraId="02C81E4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962" w:type="dxa"/>
            <w:vAlign w:val="center"/>
          </w:tcPr>
          <w:p w14:paraId="0F7357F6">
            <w:pPr>
              <w:widowControl w:val="0"/>
              <w:autoSpaceDE w:val="0"/>
              <w:autoSpaceDN w:val="0"/>
              <w:spacing w:before="50" w:line="440" w:lineRule="exact"/>
              <w:ind w:right="-20"/>
              <w:jc w:val="center"/>
              <w:rPr>
                <w:rFonts w:hint="eastAsia" w:ascii="宋体" w:hAnsi="宋体" w:cs="宋体"/>
                <w:color w:val="000000" w:themeColor="text1"/>
                <w:spacing w:val="1"/>
                <w:kern w:val="0"/>
                <w:highlight w:val="none"/>
                <w14:textFill>
                  <w14:solidFill>
                    <w14:schemeClr w14:val="tx1"/>
                  </w14:solidFill>
                </w14:textFill>
              </w:rPr>
            </w:pPr>
            <w:r>
              <w:rPr>
                <w:rFonts w:hint="eastAsia" w:ascii="宋体" w:hAnsi="宋体" w:cs="宋体"/>
                <w:color w:val="000000" w:themeColor="text1"/>
                <w:spacing w:val="1"/>
                <w:kern w:val="0"/>
                <w:highlight w:val="none"/>
                <w14:textFill>
                  <w14:solidFill>
                    <w14:schemeClr w14:val="tx1"/>
                  </w14:solidFill>
                </w14:textFill>
              </w:rPr>
              <w:t>10</w:t>
            </w:r>
          </w:p>
        </w:tc>
        <w:tc>
          <w:tcPr>
            <w:tcW w:w="2155" w:type="dxa"/>
            <w:vAlign w:val="center"/>
          </w:tcPr>
          <w:p w14:paraId="3CE8BE93">
            <w:pPr>
              <w:spacing w:line="440" w:lineRule="exact"/>
              <w:jc w:val="center"/>
              <w:rPr>
                <w:rFonts w:hint="eastAsia" w:ascii="宋体" w:hAnsi="宋体" w:cs="宋体"/>
                <w:color w:val="000000" w:themeColor="text1"/>
                <w:spacing w:val="1"/>
                <w:kern w:val="0"/>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交货地点</w:t>
            </w:r>
          </w:p>
        </w:tc>
        <w:tc>
          <w:tcPr>
            <w:tcW w:w="6131" w:type="dxa"/>
            <w:vAlign w:val="center"/>
          </w:tcPr>
          <w:p w14:paraId="26A2DA95">
            <w:pPr>
              <w:spacing w:line="440" w:lineRule="exact"/>
              <w:rPr>
                <w:rFonts w:hint="eastAsia" w:ascii="宋体" w:hAnsi="宋体" w:cs="宋体"/>
                <w:color w:val="000000" w:themeColor="text1"/>
                <w:spacing w:val="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采购人指定地点</w:t>
            </w:r>
          </w:p>
        </w:tc>
      </w:tr>
      <w:tr w14:paraId="7A8DEF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1" w:hRule="atLeast"/>
          <w:jc w:val="center"/>
        </w:trPr>
        <w:tc>
          <w:tcPr>
            <w:tcW w:w="962" w:type="dxa"/>
            <w:vAlign w:val="center"/>
          </w:tcPr>
          <w:p w14:paraId="5C6B7218">
            <w:pPr>
              <w:widowControl w:val="0"/>
              <w:autoSpaceDE w:val="0"/>
              <w:autoSpaceDN w:val="0"/>
              <w:spacing w:before="50" w:line="440" w:lineRule="exact"/>
              <w:ind w:right="35"/>
              <w:jc w:val="center"/>
              <w:rPr>
                <w:rFonts w:hint="eastAsia" w:ascii="宋体" w:hAnsi="宋体" w:cs="宋体"/>
                <w:color w:val="000000" w:themeColor="text1"/>
                <w:spacing w:val="1"/>
                <w:kern w:val="0"/>
                <w:highlight w:val="none"/>
                <w14:textFill>
                  <w14:solidFill>
                    <w14:schemeClr w14:val="tx1"/>
                  </w14:solidFill>
                </w14:textFill>
              </w:rPr>
            </w:pPr>
            <w:r>
              <w:rPr>
                <w:rFonts w:hint="eastAsia" w:ascii="宋体" w:hAnsi="宋体" w:cs="宋体"/>
                <w:color w:val="000000" w:themeColor="text1"/>
                <w:spacing w:val="1"/>
                <w:kern w:val="0"/>
                <w:highlight w:val="none"/>
                <w14:textFill>
                  <w14:solidFill>
                    <w14:schemeClr w14:val="tx1"/>
                  </w14:solidFill>
                </w14:textFill>
              </w:rPr>
              <w:t>11</w:t>
            </w:r>
          </w:p>
        </w:tc>
        <w:tc>
          <w:tcPr>
            <w:tcW w:w="2155" w:type="dxa"/>
            <w:vAlign w:val="center"/>
          </w:tcPr>
          <w:p w14:paraId="17825E86">
            <w:pPr>
              <w:spacing w:line="440" w:lineRule="exact"/>
              <w:jc w:val="center"/>
              <w:rPr>
                <w:rFonts w:hint="eastAsia" w:ascii="宋体" w:hAnsi="宋体" w:cs="宋体"/>
                <w:bCs/>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质量要求</w:t>
            </w:r>
          </w:p>
        </w:tc>
        <w:tc>
          <w:tcPr>
            <w:tcW w:w="6131" w:type="dxa"/>
            <w:vAlign w:val="center"/>
          </w:tcPr>
          <w:p w14:paraId="0362CB80">
            <w:pPr>
              <w:spacing w:line="440" w:lineRule="exact"/>
              <w:jc w:val="left"/>
              <w:rPr>
                <w:rFonts w:hint="eastAsia" w:ascii="宋体" w:hAnsi="宋体" w:cs="宋体"/>
                <w:color w:val="000000" w:themeColor="text1"/>
                <w:spacing w:val="1"/>
                <w:highlight w:val="none"/>
                <w14:textFill>
                  <w14:solidFill>
                    <w14:schemeClr w14:val="tx1"/>
                  </w14:solidFill>
                </w14:textFill>
              </w:rPr>
            </w:pPr>
            <w:r>
              <w:rPr>
                <w:rFonts w:hint="eastAsia" w:ascii="宋体" w:hAnsi="宋体" w:cs="宋体"/>
                <w:color w:val="000000" w:themeColor="text1"/>
                <w:spacing w:val="1"/>
                <w:highlight w:val="none"/>
                <w14:textFill>
                  <w14:solidFill>
                    <w14:schemeClr w14:val="tx1"/>
                  </w14:solidFill>
                </w14:textFill>
              </w:rPr>
              <w:t>合格；</w:t>
            </w:r>
          </w:p>
        </w:tc>
      </w:tr>
      <w:tr w14:paraId="202B23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62" w:type="dxa"/>
            <w:vAlign w:val="center"/>
          </w:tcPr>
          <w:p w14:paraId="541DC4DC">
            <w:pPr>
              <w:widowControl w:val="0"/>
              <w:autoSpaceDE w:val="0"/>
              <w:autoSpaceDN w:val="0"/>
              <w:spacing w:before="50" w:line="440" w:lineRule="exact"/>
              <w:ind w:right="35"/>
              <w:jc w:val="center"/>
              <w:rPr>
                <w:rFonts w:hint="eastAsia" w:ascii="宋体" w:hAnsi="宋体" w:cs="宋体"/>
                <w:color w:val="000000" w:themeColor="text1"/>
                <w:spacing w:val="1"/>
                <w:kern w:val="0"/>
                <w:highlight w:val="none"/>
                <w14:textFill>
                  <w14:solidFill>
                    <w14:schemeClr w14:val="tx1"/>
                  </w14:solidFill>
                </w14:textFill>
              </w:rPr>
            </w:pPr>
            <w:r>
              <w:rPr>
                <w:rFonts w:hint="eastAsia" w:ascii="宋体" w:hAnsi="宋体" w:cs="宋体"/>
                <w:color w:val="000000" w:themeColor="text1"/>
                <w:spacing w:val="1"/>
                <w:kern w:val="0"/>
                <w:highlight w:val="none"/>
                <w14:textFill>
                  <w14:solidFill>
                    <w14:schemeClr w14:val="tx1"/>
                  </w14:solidFill>
                </w14:textFill>
              </w:rPr>
              <w:t>12</w:t>
            </w:r>
          </w:p>
        </w:tc>
        <w:tc>
          <w:tcPr>
            <w:tcW w:w="2155" w:type="dxa"/>
            <w:vAlign w:val="center"/>
          </w:tcPr>
          <w:p w14:paraId="2B1A39B8">
            <w:pPr>
              <w:widowControl w:val="0"/>
              <w:autoSpaceDE w:val="0"/>
              <w:autoSpaceDN w:val="0"/>
              <w:snapToGrid w:val="0"/>
              <w:spacing w:before="50" w:line="440" w:lineRule="exact"/>
              <w:jc w:val="center"/>
              <w:rPr>
                <w:rFonts w:hint="eastAsia" w:ascii="宋体" w:hAnsi="宋体" w:cs="宋体"/>
                <w:color w:val="000000" w:themeColor="text1"/>
                <w:spacing w:val="1"/>
                <w:kern w:val="0"/>
                <w:highlight w:val="none"/>
                <w14:textFill>
                  <w14:solidFill>
                    <w14:schemeClr w14:val="tx1"/>
                  </w14:solidFill>
                </w14:textFill>
              </w:rPr>
            </w:pPr>
            <w:r>
              <w:rPr>
                <w:rFonts w:hint="eastAsia" w:ascii="宋体" w:hAnsi="宋体" w:cs="宋体"/>
                <w:color w:val="000000" w:themeColor="text1"/>
                <w:spacing w:val="1"/>
                <w:kern w:val="0"/>
                <w:highlight w:val="none"/>
                <w:lang w:eastAsia="zh-CN"/>
                <w14:textFill>
                  <w14:solidFill>
                    <w14:schemeClr w14:val="tx1"/>
                  </w14:solidFill>
                </w14:textFill>
              </w:rPr>
              <w:t>供应商</w:t>
            </w:r>
            <w:r>
              <w:rPr>
                <w:rFonts w:hint="eastAsia" w:ascii="宋体" w:hAnsi="宋体" w:cs="宋体"/>
                <w:color w:val="000000" w:themeColor="text1"/>
                <w:spacing w:val="1"/>
                <w:kern w:val="0"/>
                <w:highlight w:val="none"/>
                <w14:textFill>
                  <w14:solidFill>
                    <w14:schemeClr w14:val="tx1"/>
                  </w14:solidFill>
                </w14:textFill>
              </w:rPr>
              <w:t>资格要求</w:t>
            </w:r>
          </w:p>
        </w:tc>
        <w:tc>
          <w:tcPr>
            <w:tcW w:w="6131" w:type="dxa"/>
            <w:vAlign w:val="center"/>
          </w:tcPr>
          <w:p w14:paraId="3305417C">
            <w:pPr>
              <w:widowControl w:val="0"/>
              <w:snapToGrid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合格供应商：具备招标公告“二、申请人的资格要求”规定的条件。</w:t>
            </w:r>
          </w:p>
        </w:tc>
      </w:tr>
      <w:tr w14:paraId="3E6254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62" w:type="dxa"/>
            <w:vAlign w:val="center"/>
          </w:tcPr>
          <w:p w14:paraId="3074A353">
            <w:pPr>
              <w:widowControl w:val="0"/>
              <w:autoSpaceDE w:val="0"/>
              <w:autoSpaceDN w:val="0"/>
              <w:spacing w:before="50" w:line="440" w:lineRule="exact"/>
              <w:ind w:right="-20"/>
              <w:jc w:val="center"/>
              <w:rPr>
                <w:rFonts w:hint="eastAsia" w:ascii="宋体" w:hAnsi="宋体" w:cs="宋体"/>
                <w:color w:val="000000" w:themeColor="text1"/>
                <w:spacing w:val="1"/>
                <w:kern w:val="0"/>
                <w:highlight w:val="none"/>
                <w14:textFill>
                  <w14:solidFill>
                    <w14:schemeClr w14:val="tx1"/>
                  </w14:solidFill>
                </w14:textFill>
              </w:rPr>
            </w:pPr>
            <w:r>
              <w:rPr>
                <w:rFonts w:hint="eastAsia" w:ascii="宋体" w:hAnsi="宋体" w:cs="宋体"/>
                <w:color w:val="000000" w:themeColor="text1"/>
                <w:spacing w:val="1"/>
                <w:kern w:val="0"/>
                <w:highlight w:val="none"/>
                <w14:textFill>
                  <w14:solidFill>
                    <w14:schemeClr w14:val="tx1"/>
                  </w14:solidFill>
                </w14:textFill>
              </w:rPr>
              <w:t>13</w:t>
            </w:r>
          </w:p>
        </w:tc>
        <w:tc>
          <w:tcPr>
            <w:tcW w:w="2155" w:type="dxa"/>
            <w:vAlign w:val="center"/>
          </w:tcPr>
          <w:p w14:paraId="496411F7">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是否接受联合体</w:t>
            </w:r>
          </w:p>
          <w:p w14:paraId="54C04125">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w:t>
            </w:r>
          </w:p>
        </w:tc>
        <w:tc>
          <w:tcPr>
            <w:tcW w:w="6131" w:type="dxa"/>
            <w:vAlign w:val="center"/>
          </w:tcPr>
          <w:p w14:paraId="7C50BA16">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sym w:font="Wingdings 2" w:char="0052"/>
            </w:r>
            <w:r>
              <w:rPr>
                <w:rFonts w:hint="eastAsia" w:ascii="宋体" w:hAnsi="宋体" w:cs="宋体"/>
                <w:color w:val="000000" w:themeColor="text1"/>
                <w:highlight w:val="none"/>
                <w14:textFill>
                  <w14:solidFill>
                    <w14:schemeClr w14:val="tx1"/>
                  </w14:solidFill>
                </w14:textFill>
              </w:rPr>
              <w:t>不接受</w:t>
            </w:r>
          </w:p>
          <w:p w14:paraId="6A41251B">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□接受</w:t>
            </w:r>
          </w:p>
        </w:tc>
      </w:tr>
      <w:tr w14:paraId="57E574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62" w:type="dxa"/>
            <w:vAlign w:val="center"/>
          </w:tcPr>
          <w:p w14:paraId="57490164">
            <w:pPr>
              <w:widowControl w:val="0"/>
              <w:autoSpaceDE w:val="0"/>
              <w:autoSpaceDN w:val="0"/>
              <w:spacing w:before="50" w:line="440" w:lineRule="exact"/>
              <w:ind w:right="35"/>
              <w:jc w:val="center"/>
              <w:rPr>
                <w:rFonts w:hint="eastAsia" w:ascii="宋体" w:hAnsi="宋体" w:cs="宋体"/>
                <w:color w:val="000000" w:themeColor="text1"/>
                <w:spacing w:val="1"/>
                <w:kern w:val="0"/>
                <w:highlight w:val="none"/>
                <w14:textFill>
                  <w14:solidFill>
                    <w14:schemeClr w14:val="tx1"/>
                  </w14:solidFill>
                </w14:textFill>
              </w:rPr>
            </w:pPr>
            <w:r>
              <w:rPr>
                <w:rFonts w:hint="eastAsia" w:ascii="宋体" w:hAnsi="宋体" w:cs="宋体"/>
                <w:color w:val="000000" w:themeColor="text1"/>
                <w:spacing w:val="1"/>
                <w:kern w:val="0"/>
                <w:highlight w:val="none"/>
                <w14:textFill>
                  <w14:solidFill>
                    <w14:schemeClr w14:val="tx1"/>
                  </w14:solidFill>
                </w14:textFill>
              </w:rPr>
              <w:t>14</w:t>
            </w:r>
          </w:p>
        </w:tc>
        <w:tc>
          <w:tcPr>
            <w:tcW w:w="2155" w:type="dxa"/>
            <w:vAlign w:val="center"/>
          </w:tcPr>
          <w:p w14:paraId="402E5291">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踏勘现场及答疑</w:t>
            </w:r>
          </w:p>
        </w:tc>
        <w:tc>
          <w:tcPr>
            <w:tcW w:w="6131" w:type="dxa"/>
            <w:vAlign w:val="center"/>
          </w:tcPr>
          <w:p w14:paraId="56941020">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sym w:font="Wingdings 2" w:char="0052"/>
            </w:r>
            <w:r>
              <w:rPr>
                <w:rFonts w:hint="eastAsia" w:ascii="宋体" w:hAnsi="宋体" w:cs="宋体"/>
                <w:color w:val="000000" w:themeColor="text1"/>
                <w:highlight w:val="none"/>
                <w14:textFill>
                  <w14:solidFill>
                    <w14:schemeClr w14:val="tx1"/>
                  </w14:solidFill>
                </w14:textFill>
              </w:rPr>
              <w:t>不组织 可自行勘察，相关费用自理。</w:t>
            </w:r>
          </w:p>
          <w:p w14:paraId="338EBF98">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□组织</w:t>
            </w:r>
          </w:p>
        </w:tc>
      </w:tr>
      <w:tr w14:paraId="761E08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62" w:type="dxa"/>
            <w:vAlign w:val="center"/>
          </w:tcPr>
          <w:p w14:paraId="4CCF17BF">
            <w:pPr>
              <w:widowControl w:val="0"/>
              <w:autoSpaceDE w:val="0"/>
              <w:autoSpaceDN w:val="0"/>
              <w:spacing w:before="50" w:line="440" w:lineRule="exact"/>
              <w:ind w:right="35"/>
              <w:jc w:val="center"/>
              <w:rPr>
                <w:rFonts w:hint="eastAsia" w:ascii="宋体" w:hAnsi="宋体" w:cs="宋体"/>
                <w:color w:val="000000" w:themeColor="text1"/>
                <w:spacing w:val="1"/>
                <w:kern w:val="0"/>
                <w:highlight w:val="none"/>
                <w14:textFill>
                  <w14:solidFill>
                    <w14:schemeClr w14:val="tx1"/>
                  </w14:solidFill>
                </w14:textFill>
              </w:rPr>
            </w:pPr>
            <w:r>
              <w:rPr>
                <w:rFonts w:hint="eastAsia" w:ascii="宋体" w:hAnsi="宋体" w:cs="宋体"/>
                <w:color w:val="000000" w:themeColor="text1"/>
                <w:spacing w:val="1"/>
                <w:kern w:val="0"/>
                <w:highlight w:val="none"/>
                <w14:textFill>
                  <w14:solidFill>
                    <w14:schemeClr w14:val="tx1"/>
                  </w14:solidFill>
                </w14:textFill>
              </w:rPr>
              <w:t>15</w:t>
            </w:r>
          </w:p>
        </w:tc>
        <w:tc>
          <w:tcPr>
            <w:tcW w:w="2155" w:type="dxa"/>
            <w:vAlign w:val="center"/>
          </w:tcPr>
          <w:p w14:paraId="7EF5F0BA">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投标预备会</w:t>
            </w:r>
          </w:p>
        </w:tc>
        <w:tc>
          <w:tcPr>
            <w:tcW w:w="6131" w:type="dxa"/>
            <w:vAlign w:val="center"/>
          </w:tcPr>
          <w:p w14:paraId="415823FB">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sym w:font="Wingdings 2" w:char="0052"/>
            </w:r>
            <w:r>
              <w:rPr>
                <w:rFonts w:hint="eastAsia" w:ascii="宋体" w:hAnsi="宋体" w:cs="宋体"/>
                <w:color w:val="000000" w:themeColor="text1"/>
                <w:highlight w:val="none"/>
                <w14:textFill>
                  <w14:solidFill>
                    <w14:schemeClr w14:val="tx1"/>
                  </w14:solidFill>
                </w14:textFill>
              </w:rPr>
              <w:t>不召开</w:t>
            </w:r>
          </w:p>
          <w:p w14:paraId="1626F9C8">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□召开</w:t>
            </w:r>
          </w:p>
        </w:tc>
      </w:tr>
      <w:tr w14:paraId="6CE5F9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62" w:type="dxa"/>
            <w:vAlign w:val="center"/>
          </w:tcPr>
          <w:p w14:paraId="15F0E48A">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16</w:t>
            </w:r>
          </w:p>
        </w:tc>
        <w:tc>
          <w:tcPr>
            <w:tcW w:w="2155" w:type="dxa"/>
            <w:vAlign w:val="center"/>
          </w:tcPr>
          <w:p w14:paraId="06DBDC58">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技术偏离</w:t>
            </w:r>
          </w:p>
        </w:tc>
        <w:tc>
          <w:tcPr>
            <w:tcW w:w="6131" w:type="dxa"/>
            <w:vAlign w:val="center"/>
          </w:tcPr>
          <w:p w14:paraId="6DA0E1A7">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□不允许负偏差</w:t>
            </w:r>
          </w:p>
          <w:p w14:paraId="529BC99F">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sym w:font="Wingdings 2" w:char="0052"/>
            </w:r>
            <w:r>
              <w:rPr>
                <w:rFonts w:hint="eastAsia" w:ascii="宋体" w:hAnsi="宋体" w:cs="宋体"/>
                <w:color w:val="000000" w:themeColor="text1"/>
                <w:highlight w:val="none"/>
                <w14:textFill>
                  <w14:solidFill>
                    <w14:schemeClr w14:val="tx1"/>
                  </w14:solidFill>
                </w14:textFill>
              </w:rPr>
              <w:t>允许</w:t>
            </w:r>
          </w:p>
        </w:tc>
      </w:tr>
      <w:tr w14:paraId="37EB52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62" w:type="dxa"/>
            <w:vAlign w:val="center"/>
          </w:tcPr>
          <w:p w14:paraId="54928E54">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17</w:t>
            </w:r>
          </w:p>
        </w:tc>
        <w:tc>
          <w:tcPr>
            <w:tcW w:w="2155" w:type="dxa"/>
            <w:vAlign w:val="center"/>
          </w:tcPr>
          <w:p w14:paraId="52420B5F">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构成招标文件的</w:t>
            </w:r>
          </w:p>
          <w:p w14:paraId="0E7AE9D4">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其他材料</w:t>
            </w:r>
          </w:p>
        </w:tc>
        <w:tc>
          <w:tcPr>
            <w:tcW w:w="6131" w:type="dxa"/>
            <w:vAlign w:val="center"/>
          </w:tcPr>
          <w:p w14:paraId="6579100E">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与本项目有关的解答、澄清、修改与补充等。当招标文件的答疑、澄清、补充或解释等文件的内容在同一内容的表述上不一致时，以最后发出的文件为准。</w:t>
            </w:r>
          </w:p>
        </w:tc>
      </w:tr>
      <w:tr w14:paraId="619FAFF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62" w:type="dxa"/>
            <w:vAlign w:val="center"/>
          </w:tcPr>
          <w:p w14:paraId="04292ABD">
            <w:pPr>
              <w:widowControl w:val="0"/>
              <w:autoSpaceDE w:val="0"/>
              <w:autoSpaceDN w:val="0"/>
              <w:spacing w:before="50" w:line="440" w:lineRule="exact"/>
              <w:ind w:right="-20"/>
              <w:jc w:val="center"/>
              <w:rPr>
                <w:rFonts w:hint="eastAsia" w:ascii="宋体" w:hAnsi="宋体" w:cs="宋体"/>
                <w:color w:val="000000" w:themeColor="text1"/>
                <w:spacing w:val="1"/>
                <w:kern w:val="0"/>
                <w:highlight w:val="none"/>
                <w14:textFill>
                  <w14:solidFill>
                    <w14:schemeClr w14:val="tx1"/>
                  </w14:solidFill>
                </w14:textFill>
              </w:rPr>
            </w:pPr>
            <w:r>
              <w:rPr>
                <w:rFonts w:hint="eastAsia" w:ascii="宋体" w:hAnsi="宋体" w:cs="宋体"/>
                <w:color w:val="000000" w:themeColor="text1"/>
                <w:spacing w:val="1"/>
                <w:kern w:val="0"/>
                <w:highlight w:val="none"/>
                <w14:textFill>
                  <w14:solidFill>
                    <w14:schemeClr w14:val="tx1"/>
                  </w14:solidFill>
                </w14:textFill>
              </w:rPr>
              <w:t>18</w:t>
            </w:r>
          </w:p>
        </w:tc>
        <w:tc>
          <w:tcPr>
            <w:tcW w:w="2155" w:type="dxa"/>
            <w:vAlign w:val="center"/>
          </w:tcPr>
          <w:p w14:paraId="31F5FDBA">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要求澄清招标文件的截止时间</w:t>
            </w:r>
          </w:p>
        </w:tc>
        <w:tc>
          <w:tcPr>
            <w:tcW w:w="6131" w:type="dxa"/>
            <w:vAlign w:val="center"/>
          </w:tcPr>
          <w:p w14:paraId="07023ACF">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按招标文件规定的投标文件截止前 15 日前</w:t>
            </w:r>
          </w:p>
        </w:tc>
      </w:tr>
      <w:tr w14:paraId="3198A1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4" w:hRule="atLeast"/>
          <w:jc w:val="center"/>
        </w:trPr>
        <w:tc>
          <w:tcPr>
            <w:tcW w:w="962" w:type="dxa"/>
            <w:vAlign w:val="center"/>
          </w:tcPr>
          <w:p w14:paraId="23CCEEFB">
            <w:pPr>
              <w:widowControl w:val="0"/>
              <w:autoSpaceDE w:val="0"/>
              <w:autoSpaceDN w:val="0"/>
              <w:spacing w:before="50" w:line="440" w:lineRule="exact"/>
              <w:ind w:right="-20"/>
              <w:jc w:val="center"/>
              <w:rPr>
                <w:rFonts w:hint="eastAsia" w:ascii="宋体" w:hAnsi="宋体" w:cs="宋体"/>
                <w:color w:val="000000" w:themeColor="text1"/>
                <w:spacing w:val="1"/>
                <w:kern w:val="0"/>
                <w:highlight w:val="none"/>
                <w14:textFill>
                  <w14:solidFill>
                    <w14:schemeClr w14:val="tx1"/>
                  </w14:solidFill>
                </w14:textFill>
              </w:rPr>
            </w:pPr>
            <w:r>
              <w:rPr>
                <w:rFonts w:hint="eastAsia" w:ascii="宋体" w:hAnsi="宋体" w:cs="宋体"/>
                <w:color w:val="000000" w:themeColor="text1"/>
                <w:spacing w:val="1"/>
                <w:kern w:val="0"/>
                <w:highlight w:val="none"/>
                <w14:textFill>
                  <w14:solidFill>
                    <w14:schemeClr w14:val="tx1"/>
                  </w14:solidFill>
                </w14:textFill>
              </w:rPr>
              <w:t>19</w:t>
            </w:r>
          </w:p>
        </w:tc>
        <w:tc>
          <w:tcPr>
            <w:tcW w:w="2155" w:type="dxa"/>
            <w:vAlign w:val="center"/>
          </w:tcPr>
          <w:p w14:paraId="77321CEA">
            <w:pPr>
              <w:widowControl w:val="0"/>
              <w:autoSpaceDE w:val="0"/>
              <w:autoSpaceDN w:val="0"/>
              <w:snapToGrid w:val="0"/>
              <w:spacing w:before="50" w:line="440" w:lineRule="exact"/>
              <w:jc w:val="center"/>
              <w:rPr>
                <w:rFonts w:hint="eastAsia" w:ascii="宋体" w:hAnsi="宋体" w:cs="宋体"/>
                <w:color w:val="000000" w:themeColor="text1"/>
                <w:spacing w:val="1"/>
                <w:kern w:val="0"/>
                <w:highlight w:val="none"/>
                <w14:textFill>
                  <w14:solidFill>
                    <w14:schemeClr w14:val="tx1"/>
                  </w14:solidFill>
                </w14:textFill>
              </w:rPr>
            </w:pPr>
            <w:r>
              <w:rPr>
                <w:rFonts w:hint="eastAsia" w:ascii="宋体" w:hAnsi="宋体" w:cs="宋体"/>
                <w:color w:val="000000" w:themeColor="text1"/>
                <w:spacing w:val="1"/>
                <w:kern w:val="0"/>
                <w:highlight w:val="none"/>
                <w14:textFill>
                  <w14:solidFill>
                    <w14:schemeClr w14:val="tx1"/>
                  </w14:solidFill>
                </w14:textFill>
              </w:rPr>
              <w:t>投标截止时间</w:t>
            </w:r>
          </w:p>
        </w:tc>
        <w:tc>
          <w:tcPr>
            <w:tcW w:w="6131" w:type="dxa"/>
            <w:vAlign w:val="center"/>
          </w:tcPr>
          <w:p w14:paraId="4559A7F1">
            <w:pPr>
              <w:widowControl w:val="0"/>
              <w:snapToGrid w:val="0"/>
              <w:spacing w:line="440" w:lineRule="exact"/>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2026年8月5日9时00分</w:t>
            </w:r>
            <w:r>
              <w:rPr>
                <w:rFonts w:hint="eastAsia" w:ascii="宋体" w:hAnsi="宋体" w:cs="宋体"/>
                <w:b/>
                <w:bCs/>
                <w:color w:val="000000" w:themeColor="text1"/>
                <w:highlight w:val="none"/>
                <w14:textFill>
                  <w14:solidFill>
                    <w14:schemeClr w14:val="tx1"/>
                  </w14:solidFill>
                </w14:textFill>
              </w:rPr>
              <w:t>(北京时间）</w:t>
            </w:r>
            <w:r>
              <w:rPr>
                <w:rFonts w:hint="eastAsia" w:ascii="宋体" w:hAnsi="宋体" w:cs="宋体"/>
                <w:color w:val="000000" w:themeColor="text1"/>
                <w:highlight w:val="none"/>
                <w14:textFill>
                  <w14:solidFill>
                    <w14:schemeClr w14:val="tx1"/>
                  </w14:solidFill>
                </w14:textFill>
              </w:rPr>
              <w:t>注：全面实行在线“不见面”开标，</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远程在线解密投标文件，不再到开标现场，</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开标前应仔细阅读《“不见面”开标注意事项及操作流程》。</w:t>
            </w:r>
          </w:p>
        </w:tc>
      </w:tr>
      <w:tr w14:paraId="206CE7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4" w:hRule="atLeast"/>
          <w:jc w:val="center"/>
        </w:trPr>
        <w:tc>
          <w:tcPr>
            <w:tcW w:w="962" w:type="dxa"/>
            <w:vAlign w:val="center"/>
          </w:tcPr>
          <w:p w14:paraId="770F14C5">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20</w:t>
            </w:r>
          </w:p>
        </w:tc>
        <w:tc>
          <w:tcPr>
            <w:tcW w:w="2155" w:type="dxa"/>
            <w:vAlign w:val="center"/>
          </w:tcPr>
          <w:p w14:paraId="06870918">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投标文件电子版</w:t>
            </w:r>
          </w:p>
        </w:tc>
        <w:tc>
          <w:tcPr>
            <w:tcW w:w="6131" w:type="dxa"/>
            <w:vAlign w:val="center"/>
          </w:tcPr>
          <w:p w14:paraId="18A1DB93">
            <w:pPr>
              <w:widowControl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加密版投标文件1份（.file格式），并按规定进行上传。</w:t>
            </w:r>
          </w:p>
        </w:tc>
      </w:tr>
      <w:tr w14:paraId="74B125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62" w:type="dxa"/>
            <w:vAlign w:val="center"/>
          </w:tcPr>
          <w:p w14:paraId="40A0B2F6">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21</w:t>
            </w:r>
          </w:p>
        </w:tc>
        <w:tc>
          <w:tcPr>
            <w:tcW w:w="2155" w:type="dxa"/>
            <w:vAlign w:val="center"/>
          </w:tcPr>
          <w:p w14:paraId="000E1D69">
            <w:pPr>
              <w:widowControl w:val="0"/>
              <w:autoSpaceDE w:val="0"/>
              <w:autoSpaceDN w:val="0"/>
              <w:snapToGrid w:val="0"/>
              <w:spacing w:before="50" w:line="440" w:lineRule="exact"/>
              <w:jc w:val="center"/>
              <w:rPr>
                <w:rFonts w:hint="eastAsia" w:ascii="宋体" w:hAnsi="宋体" w:cs="宋体"/>
                <w:color w:val="000000" w:themeColor="text1"/>
                <w:spacing w:val="1"/>
                <w:kern w:val="0"/>
                <w:highlight w:val="none"/>
                <w14:textFill>
                  <w14:solidFill>
                    <w14:schemeClr w14:val="tx1"/>
                  </w14:solidFill>
                </w14:textFill>
              </w:rPr>
            </w:pPr>
            <w:r>
              <w:rPr>
                <w:rFonts w:hint="eastAsia" w:ascii="宋体" w:hAnsi="宋体" w:cs="宋体"/>
                <w:color w:val="000000" w:themeColor="text1"/>
                <w:spacing w:val="1"/>
                <w:kern w:val="0"/>
                <w:highlight w:val="none"/>
                <w14:textFill>
                  <w14:solidFill>
                    <w14:schemeClr w14:val="tx1"/>
                  </w14:solidFill>
                </w14:textFill>
              </w:rPr>
              <w:t>投标有效期</w:t>
            </w:r>
          </w:p>
        </w:tc>
        <w:tc>
          <w:tcPr>
            <w:tcW w:w="6131" w:type="dxa"/>
            <w:vAlign w:val="center"/>
          </w:tcPr>
          <w:p w14:paraId="3F675752">
            <w:pPr>
              <w:widowControl w:val="0"/>
              <w:snapToGrid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从投标截止之日起90日历天</w:t>
            </w:r>
          </w:p>
        </w:tc>
      </w:tr>
      <w:tr w14:paraId="5F6DD4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962" w:type="dxa"/>
            <w:vMerge w:val="restart"/>
            <w:vAlign w:val="center"/>
          </w:tcPr>
          <w:p w14:paraId="5386B22D">
            <w:pPr>
              <w:widowControl w:val="0"/>
              <w:autoSpaceDE w:val="0"/>
              <w:autoSpaceDN w:val="0"/>
              <w:spacing w:before="50" w:line="440" w:lineRule="exact"/>
              <w:ind w:right="35"/>
              <w:jc w:val="center"/>
              <w:rPr>
                <w:rFonts w:hint="eastAsia" w:ascii="宋体" w:hAnsi="宋体" w:cs="宋体"/>
                <w:color w:val="000000" w:themeColor="text1"/>
                <w:spacing w:val="1"/>
                <w:kern w:val="0"/>
                <w:highlight w:val="none"/>
                <w14:textFill>
                  <w14:solidFill>
                    <w14:schemeClr w14:val="tx1"/>
                  </w14:solidFill>
                </w14:textFill>
              </w:rPr>
            </w:pPr>
            <w:r>
              <w:rPr>
                <w:rFonts w:hint="eastAsia" w:ascii="宋体" w:hAnsi="宋体" w:cs="宋体"/>
                <w:color w:val="000000" w:themeColor="text1"/>
                <w:spacing w:val="1"/>
                <w:kern w:val="0"/>
                <w:highlight w:val="none"/>
                <w14:textFill>
                  <w14:solidFill>
                    <w14:schemeClr w14:val="tx1"/>
                  </w14:solidFill>
                </w14:textFill>
              </w:rPr>
              <w:t>22</w:t>
            </w:r>
          </w:p>
        </w:tc>
        <w:tc>
          <w:tcPr>
            <w:tcW w:w="2155" w:type="dxa"/>
          </w:tcPr>
          <w:p w14:paraId="64AC9E10">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投标保证金</w:t>
            </w:r>
          </w:p>
        </w:tc>
        <w:tc>
          <w:tcPr>
            <w:tcW w:w="6131" w:type="dxa"/>
          </w:tcPr>
          <w:p w14:paraId="2682A6E2">
            <w:pPr>
              <w:widowControl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不收取</w:t>
            </w:r>
          </w:p>
        </w:tc>
      </w:tr>
      <w:tr w14:paraId="05E837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962" w:type="dxa"/>
            <w:vMerge w:val="continue"/>
            <w:vAlign w:val="center"/>
          </w:tcPr>
          <w:p w14:paraId="676EFBE3">
            <w:pPr>
              <w:widowControl w:val="0"/>
              <w:autoSpaceDE w:val="0"/>
              <w:autoSpaceDN w:val="0"/>
              <w:spacing w:before="50" w:line="440" w:lineRule="exact"/>
              <w:ind w:right="35"/>
              <w:jc w:val="center"/>
              <w:rPr>
                <w:rFonts w:hint="eastAsia" w:ascii="宋体" w:hAnsi="宋体" w:cs="宋体"/>
                <w:color w:val="000000" w:themeColor="text1"/>
                <w:spacing w:val="1"/>
                <w:kern w:val="0"/>
                <w:highlight w:val="none"/>
                <w14:textFill>
                  <w14:solidFill>
                    <w14:schemeClr w14:val="tx1"/>
                  </w14:solidFill>
                </w14:textFill>
              </w:rPr>
            </w:pPr>
          </w:p>
        </w:tc>
        <w:tc>
          <w:tcPr>
            <w:tcW w:w="2155" w:type="dxa"/>
            <w:vAlign w:val="center"/>
          </w:tcPr>
          <w:p w14:paraId="30D38F0D">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履约保证金</w:t>
            </w:r>
          </w:p>
        </w:tc>
        <w:tc>
          <w:tcPr>
            <w:tcW w:w="6131" w:type="dxa"/>
          </w:tcPr>
          <w:p w14:paraId="59A3659F">
            <w:pPr>
              <w:spacing w:line="400" w:lineRule="exact"/>
              <w:jc w:val="both"/>
              <w:rPr>
                <w:rFonts w:hint="default"/>
                <w:color w:val="000000" w:themeColor="text1"/>
                <w:highlight w:val="none"/>
                <w:lang w:val="en-US"/>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不收取</w:t>
            </w:r>
          </w:p>
        </w:tc>
      </w:tr>
      <w:tr w14:paraId="579A6F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962" w:type="dxa"/>
            <w:vMerge w:val="continue"/>
            <w:vAlign w:val="center"/>
          </w:tcPr>
          <w:p w14:paraId="7AA54D48">
            <w:pPr>
              <w:widowControl w:val="0"/>
              <w:autoSpaceDE w:val="0"/>
              <w:autoSpaceDN w:val="0"/>
              <w:spacing w:before="50" w:line="440" w:lineRule="exact"/>
              <w:ind w:right="35"/>
              <w:jc w:val="center"/>
              <w:rPr>
                <w:rFonts w:hint="eastAsia" w:ascii="宋体" w:hAnsi="宋体" w:cs="宋体"/>
                <w:color w:val="000000" w:themeColor="text1"/>
                <w:spacing w:val="1"/>
                <w:kern w:val="0"/>
                <w:highlight w:val="none"/>
                <w14:textFill>
                  <w14:solidFill>
                    <w14:schemeClr w14:val="tx1"/>
                  </w14:solidFill>
                </w14:textFill>
              </w:rPr>
            </w:pPr>
          </w:p>
        </w:tc>
        <w:tc>
          <w:tcPr>
            <w:tcW w:w="2155" w:type="dxa"/>
          </w:tcPr>
          <w:p w14:paraId="32774096">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质量保证金</w:t>
            </w:r>
          </w:p>
        </w:tc>
        <w:tc>
          <w:tcPr>
            <w:tcW w:w="6131" w:type="dxa"/>
          </w:tcPr>
          <w:p w14:paraId="663FC693">
            <w:pPr>
              <w:widowControl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不收取</w:t>
            </w:r>
          </w:p>
        </w:tc>
      </w:tr>
      <w:tr w14:paraId="127DA7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962" w:type="dxa"/>
            <w:vMerge w:val="continue"/>
            <w:vAlign w:val="center"/>
          </w:tcPr>
          <w:p w14:paraId="7A2AE4DE">
            <w:pPr>
              <w:widowControl w:val="0"/>
              <w:autoSpaceDE w:val="0"/>
              <w:autoSpaceDN w:val="0"/>
              <w:spacing w:before="50" w:line="440" w:lineRule="exact"/>
              <w:ind w:right="35"/>
              <w:jc w:val="center"/>
              <w:rPr>
                <w:rFonts w:hint="eastAsia" w:ascii="宋体" w:hAnsi="宋体" w:cs="宋体"/>
                <w:color w:val="000000" w:themeColor="text1"/>
                <w:spacing w:val="1"/>
                <w:kern w:val="0"/>
                <w:highlight w:val="none"/>
                <w14:textFill>
                  <w14:solidFill>
                    <w14:schemeClr w14:val="tx1"/>
                  </w14:solidFill>
                </w14:textFill>
              </w:rPr>
            </w:pPr>
          </w:p>
        </w:tc>
        <w:tc>
          <w:tcPr>
            <w:tcW w:w="2155" w:type="dxa"/>
          </w:tcPr>
          <w:p w14:paraId="1C9506CE">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招标文件费用</w:t>
            </w:r>
          </w:p>
        </w:tc>
        <w:tc>
          <w:tcPr>
            <w:tcW w:w="6131" w:type="dxa"/>
          </w:tcPr>
          <w:p w14:paraId="6F6E8E97">
            <w:pPr>
              <w:widowControl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不收取</w:t>
            </w:r>
          </w:p>
        </w:tc>
      </w:tr>
      <w:tr w14:paraId="7131FC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962" w:type="dxa"/>
            <w:vAlign w:val="center"/>
          </w:tcPr>
          <w:p w14:paraId="5D420B4B">
            <w:pPr>
              <w:widowControl w:val="0"/>
              <w:autoSpaceDE w:val="0"/>
              <w:autoSpaceDN w:val="0"/>
              <w:spacing w:before="50" w:line="440" w:lineRule="exact"/>
              <w:ind w:right="35"/>
              <w:jc w:val="center"/>
              <w:rPr>
                <w:rFonts w:hint="eastAsia" w:ascii="宋体" w:hAnsi="宋体" w:cs="宋体"/>
                <w:color w:val="000000" w:themeColor="text1"/>
                <w:spacing w:val="1"/>
                <w:kern w:val="0"/>
                <w:highlight w:val="none"/>
                <w14:textFill>
                  <w14:solidFill>
                    <w14:schemeClr w14:val="tx1"/>
                  </w14:solidFill>
                </w14:textFill>
              </w:rPr>
            </w:pPr>
            <w:r>
              <w:rPr>
                <w:rFonts w:hint="eastAsia" w:ascii="宋体" w:hAnsi="宋体" w:cs="宋体"/>
                <w:color w:val="000000" w:themeColor="text1"/>
                <w:spacing w:val="1"/>
                <w:kern w:val="0"/>
                <w:highlight w:val="none"/>
                <w14:textFill>
                  <w14:solidFill>
                    <w14:schemeClr w14:val="tx1"/>
                  </w14:solidFill>
                </w14:textFill>
              </w:rPr>
              <w:t>23</w:t>
            </w:r>
          </w:p>
        </w:tc>
        <w:tc>
          <w:tcPr>
            <w:tcW w:w="2155" w:type="dxa"/>
            <w:vAlign w:val="center"/>
          </w:tcPr>
          <w:p w14:paraId="36DA666D">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签字或盖章要求</w:t>
            </w:r>
          </w:p>
        </w:tc>
        <w:tc>
          <w:tcPr>
            <w:tcW w:w="6131" w:type="dxa"/>
            <w:vAlign w:val="center"/>
          </w:tcPr>
          <w:p w14:paraId="59A1B9A8">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投标文件应按招标文件要求加盖单位公章、签字、盖章。投标文件中的各类证书及企业相关证明资料复印件须加盖</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电子印章。若被授权代理人签字或盖章的，投标文件中应附法定代表人有效授权委托书。</w:t>
            </w:r>
          </w:p>
        </w:tc>
      </w:tr>
      <w:tr w14:paraId="3616A2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962" w:type="dxa"/>
            <w:vAlign w:val="center"/>
          </w:tcPr>
          <w:p w14:paraId="681DC92E">
            <w:pPr>
              <w:widowControl w:val="0"/>
              <w:autoSpaceDE w:val="0"/>
              <w:autoSpaceDN w:val="0"/>
              <w:spacing w:before="50" w:line="440" w:lineRule="exact"/>
              <w:ind w:right="35"/>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24</w:t>
            </w:r>
          </w:p>
        </w:tc>
        <w:tc>
          <w:tcPr>
            <w:tcW w:w="2155" w:type="dxa"/>
            <w:vAlign w:val="center"/>
          </w:tcPr>
          <w:p w14:paraId="6A60FA37">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递交投标文件地点</w:t>
            </w:r>
          </w:p>
        </w:tc>
        <w:tc>
          <w:tcPr>
            <w:tcW w:w="6131" w:type="dxa"/>
            <w:vAlign w:val="center"/>
          </w:tcPr>
          <w:p w14:paraId="747E7850">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平顶山市公共资源交易中心电子交易系统</w:t>
            </w:r>
          </w:p>
        </w:tc>
      </w:tr>
      <w:tr w14:paraId="50B69A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8" w:hRule="atLeast"/>
          <w:jc w:val="center"/>
        </w:trPr>
        <w:tc>
          <w:tcPr>
            <w:tcW w:w="962" w:type="dxa"/>
            <w:vAlign w:val="center"/>
          </w:tcPr>
          <w:p w14:paraId="1597985D">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25</w:t>
            </w:r>
          </w:p>
        </w:tc>
        <w:tc>
          <w:tcPr>
            <w:tcW w:w="2155" w:type="dxa"/>
            <w:vAlign w:val="center"/>
          </w:tcPr>
          <w:p w14:paraId="3E67FF2B">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开标时间和地点</w:t>
            </w:r>
          </w:p>
        </w:tc>
        <w:tc>
          <w:tcPr>
            <w:tcW w:w="6131" w:type="dxa"/>
            <w:vAlign w:val="center"/>
          </w:tcPr>
          <w:p w14:paraId="56BE3B25">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开标时间：同投标截止时间；</w:t>
            </w:r>
          </w:p>
          <w:p w14:paraId="246D4815">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开标地点：平顶山市公共资源交易中心</w:t>
            </w:r>
          </w:p>
        </w:tc>
      </w:tr>
      <w:tr w14:paraId="034E5B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8" w:hRule="atLeast"/>
          <w:jc w:val="center"/>
        </w:trPr>
        <w:tc>
          <w:tcPr>
            <w:tcW w:w="962" w:type="dxa"/>
            <w:vAlign w:val="center"/>
          </w:tcPr>
          <w:p w14:paraId="16CBA9E2">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26</w:t>
            </w:r>
          </w:p>
        </w:tc>
        <w:tc>
          <w:tcPr>
            <w:tcW w:w="2155" w:type="dxa"/>
            <w:vAlign w:val="center"/>
          </w:tcPr>
          <w:p w14:paraId="5B49BE96">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开标程序</w:t>
            </w:r>
          </w:p>
        </w:tc>
        <w:tc>
          <w:tcPr>
            <w:tcW w:w="6131" w:type="dxa"/>
            <w:vAlign w:val="center"/>
          </w:tcPr>
          <w:p w14:paraId="4D4AB2B3">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（1）电子化投标文件采用双重加密方式。开标时，首先由</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使用 CA 证书，在规定时间内对其电子化投标文件进行首次解密，</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解密完成后，再由中介服务机构使用 CA 证书对投标文件进行再次解密。</w:t>
            </w:r>
          </w:p>
          <w:p w14:paraId="21D44D16">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（2）待所有</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投标文件解密完成后，由中介服务机构操作，对所有已解密投标文件进行唱标。</w:t>
            </w:r>
          </w:p>
        </w:tc>
      </w:tr>
      <w:tr w14:paraId="1429FF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962" w:type="dxa"/>
            <w:vAlign w:val="center"/>
          </w:tcPr>
          <w:p w14:paraId="3308BB9B">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27</w:t>
            </w:r>
          </w:p>
        </w:tc>
        <w:tc>
          <w:tcPr>
            <w:tcW w:w="2155" w:type="dxa"/>
            <w:vAlign w:val="center"/>
          </w:tcPr>
          <w:p w14:paraId="1CFE0A88">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评标委员会的组建</w:t>
            </w:r>
          </w:p>
        </w:tc>
        <w:tc>
          <w:tcPr>
            <w:tcW w:w="6131" w:type="dxa"/>
            <w:vAlign w:val="center"/>
          </w:tcPr>
          <w:p w14:paraId="159C1A18">
            <w:pPr>
              <w:widowControl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评标委员会确定方式：评标委员会由采购人代表和评审专家组成，成员人数应当为5人以上单数，其中评审专家不得少于成员总人数的三分之二。</w:t>
            </w:r>
          </w:p>
          <w:p w14:paraId="459E8040">
            <w:pPr>
              <w:widowControl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评标专家确定方式：在专家库中随机抽取</w:t>
            </w:r>
          </w:p>
          <w:p w14:paraId="25C5347A">
            <w:pPr>
              <w:widowControl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注：“上述规定为一组评标专家委员会组成方式，根据项目标段数量和评标工作量，可由多组专家委员会完成评审，但一个标段只能由一组评标专家委员会评审。”</w:t>
            </w:r>
          </w:p>
        </w:tc>
      </w:tr>
      <w:tr w14:paraId="39F6C9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962" w:type="dxa"/>
            <w:vAlign w:val="center"/>
          </w:tcPr>
          <w:p w14:paraId="0677D0D7">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28</w:t>
            </w:r>
          </w:p>
        </w:tc>
        <w:tc>
          <w:tcPr>
            <w:tcW w:w="2155" w:type="dxa"/>
            <w:vAlign w:val="center"/>
          </w:tcPr>
          <w:p w14:paraId="6E6B3210">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是否授权评标委会</w:t>
            </w:r>
          </w:p>
          <w:p w14:paraId="74C21048">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确定中标人</w:t>
            </w:r>
          </w:p>
        </w:tc>
        <w:tc>
          <w:tcPr>
            <w:tcW w:w="6131" w:type="dxa"/>
            <w:vAlign w:val="center"/>
          </w:tcPr>
          <w:p w14:paraId="2255D0E5">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否，由评标委员会按</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最后得分高低推荐前1-3名为中标候选人。若排名第一的中标候选人放弃中标、因不可抗力提出不能履行合同，采购人可以确定第二中标候选人为中标人；依此类推，或重新招标。当所有中标候选人因上述原因不能签订合同的，采购人将依法重新招标。</w:t>
            </w:r>
          </w:p>
        </w:tc>
      </w:tr>
      <w:tr w14:paraId="3DB684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962" w:type="dxa"/>
            <w:vAlign w:val="center"/>
          </w:tcPr>
          <w:p w14:paraId="2B1A396A">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29</w:t>
            </w:r>
          </w:p>
        </w:tc>
        <w:tc>
          <w:tcPr>
            <w:tcW w:w="2155" w:type="dxa"/>
            <w:vAlign w:val="center"/>
          </w:tcPr>
          <w:p w14:paraId="31CDCDC8">
            <w:pPr>
              <w:widowControl w:val="0"/>
              <w:spacing w:line="440" w:lineRule="exact"/>
              <w:jc w:val="center"/>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接收质疑函的方式和联系方式</w:t>
            </w:r>
          </w:p>
        </w:tc>
        <w:tc>
          <w:tcPr>
            <w:tcW w:w="6131" w:type="dxa"/>
            <w:vAlign w:val="center"/>
          </w:tcPr>
          <w:p w14:paraId="1DAD49CD">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（1）投标人认为采购文件、采购过程和中标结果使自己的权益受到损害的, 可以在知道或者应知其权益受到损害之日起七个工作日内，按中华人民共和国财政部令第94号《政府采购质疑和投诉办法》的相关规定，以书面形式同时向采购人和采购代理机构提出质疑（加盖单位公章且法定代表人签字），由其授权代表携带法人授权书及本人身份证件提交（邮寄、传真件不予受理）。逾期未提交或未按照要求提交的质疑函将不予受理。</w:t>
            </w:r>
          </w:p>
          <w:p w14:paraId="2349B0BF">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若有投诉，可按照相关规定以书面形式向监督部门进行投诉。</w:t>
            </w:r>
          </w:p>
          <w:p w14:paraId="529319F4">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（2）质疑函的内容、格式：应符合《政府采购质疑和投诉办法》（财政部第94号令）相关规定和财政部门制定的《政府采购质疑函范本》格式。</w:t>
            </w:r>
          </w:p>
          <w:p w14:paraId="21052156">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（3）投标人应在法定质疑期内一次性提出针对同一采购程序环节的质疑。</w:t>
            </w:r>
          </w:p>
          <w:p w14:paraId="352553A8">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（4）接收质疑函联系方式：</w:t>
            </w:r>
          </w:p>
          <w:p w14:paraId="092254DC">
            <w:pPr>
              <w:widowControl w:val="0"/>
              <w:spacing w:line="440" w:lineRule="exact"/>
              <w:rPr>
                <w:rFonts w:hint="default" w:ascii="宋体" w:hAnsi="宋体" w:eastAsia="宋体" w:cs="宋体"/>
                <w:bCs/>
                <w:color w:val="000000" w:themeColor="text1"/>
                <w:highlight w:val="none"/>
                <w:lang w:val="en-US" w:eastAsia="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联系人：张先生    联系电话：</w:t>
            </w:r>
            <w:r>
              <w:rPr>
                <w:rFonts w:hint="eastAsia" w:ascii="宋体" w:hAnsi="宋体" w:cs="宋体"/>
                <w:bCs/>
                <w:color w:val="000000" w:themeColor="text1"/>
                <w:highlight w:val="none"/>
                <w:lang w:val="en-US" w:eastAsia="zh-CN"/>
                <w14:textFill>
                  <w14:solidFill>
                    <w14:schemeClr w14:val="tx1"/>
                  </w14:solidFill>
                </w14:textFill>
              </w:rPr>
              <w:t>0375-2565678</w:t>
            </w:r>
          </w:p>
          <w:p w14:paraId="342343AD">
            <w:pPr>
              <w:widowControl w:val="0"/>
              <w:spacing w:line="440" w:lineRule="exact"/>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对供应商提出的质疑，采购人、采购代理机构应当依法及时答复和处理。</w:t>
            </w:r>
          </w:p>
        </w:tc>
      </w:tr>
      <w:tr w14:paraId="357E23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962" w:type="dxa"/>
            <w:vAlign w:val="center"/>
          </w:tcPr>
          <w:p w14:paraId="024DE103">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30</w:t>
            </w:r>
          </w:p>
        </w:tc>
        <w:tc>
          <w:tcPr>
            <w:tcW w:w="2155" w:type="dxa"/>
            <w:vAlign w:val="center"/>
          </w:tcPr>
          <w:p w14:paraId="20CA327C">
            <w:pPr>
              <w:widowControl w:val="0"/>
              <w:spacing w:line="440" w:lineRule="exact"/>
              <w:jc w:val="cente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最高投标限价</w:t>
            </w:r>
          </w:p>
        </w:tc>
        <w:tc>
          <w:tcPr>
            <w:tcW w:w="6131" w:type="dxa"/>
            <w:vAlign w:val="center"/>
          </w:tcPr>
          <w:p w14:paraId="1250AE0E">
            <w:pPr>
              <w:widowControl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最高限价：</w:t>
            </w:r>
            <w:r>
              <w:rPr>
                <w:rFonts w:hint="eastAsia" w:ascii="宋体" w:hAnsi="宋体" w:cs="宋体"/>
                <w:color w:val="000000" w:themeColor="text1"/>
                <w:highlight w:val="none"/>
                <w:lang w:eastAsia="zh-CN"/>
                <w14:textFill>
                  <w14:solidFill>
                    <w14:schemeClr w14:val="tx1"/>
                  </w14:solidFill>
                </w14:textFill>
              </w:rPr>
              <w:t>517350.00</w:t>
            </w:r>
            <w:r>
              <w:rPr>
                <w:rFonts w:hint="eastAsia" w:ascii="宋体" w:hAnsi="宋体" w:cs="宋体"/>
                <w:color w:val="000000" w:themeColor="text1"/>
                <w:highlight w:val="none"/>
                <w14:textFill>
                  <w14:solidFill>
                    <w14:schemeClr w14:val="tx1"/>
                  </w14:solidFill>
                </w14:textFill>
              </w:rPr>
              <w:t>元</w:t>
            </w:r>
          </w:p>
          <w:p w14:paraId="50039127">
            <w:pPr>
              <w:widowControl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注：超出最高限价按废标处理。</w:t>
            </w:r>
          </w:p>
        </w:tc>
      </w:tr>
      <w:tr w14:paraId="4FECCD4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62" w:type="dxa"/>
            <w:vAlign w:val="center"/>
          </w:tcPr>
          <w:p w14:paraId="77C0C838">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31</w:t>
            </w:r>
          </w:p>
        </w:tc>
        <w:tc>
          <w:tcPr>
            <w:tcW w:w="2155" w:type="dxa"/>
            <w:vAlign w:val="center"/>
          </w:tcPr>
          <w:p w14:paraId="669CC0E9">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招标代理服务费</w:t>
            </w:r>
          </w:p>
        </w:tc>
        <w:tc>
          <w:tcPr>
            <w:tcW w:w="6131" w:type="dxa"/>
            <w:vAlign w:val="center"/>
          </w:tcPr>
          <w:p w14:paraId="6276DCB9">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中标人在领取中标通知书前，应按照豫招协《河南省招标代理服务收费指导意见》【2023】002号文规定，本项目代理服务费</w:t>
            </w:r>
            <w:r>
              <w:rPr>
                <w:rFonts w:hint="eastAsia" w:ascii="宋体" w:hAnsi="宋体"/>
                <w:highlight w:val="none"/>
                <w:lang w:val="en-US" w:eastAsia="zh-CN"/>
              </w:rPr>
              <w:t>10000</w:t>
            </w:r>
            <w:r>
              <w:rPr>
                <w:rFonts w:hint="eastAsia" w:ascii="宋体" w:hAnsi="宋体" w:cs="宋体"/>
                <w:color w:val="000000" w:themeColor="text1"/>
                <w:highlight w:val="none"/>
                <w:lang w:val="en-US" w:eastAsia="zh-CN"/>
                <w14:textFill>
                  <w14:solidFill>
                    <w14:schemeClr w14:val="tx1"/>
                  </w14:solidFill>
                </w14:textFill>
              </w:rPr>
              <w:t>.00元</w:t>
            </w:r>
            <w:r>
              <w:rPr>
                <w:rFonts w:hint="eastAsia" w:ascii="宋体" w:hAnsi="宋体" w:cs="宋体"/>
                <w:color w:val="000000" w:themeColor="text1"/>
                <w:highlight w:val="none"/>
                <w14:textFill>
                  <w14:solidFill>
                    <w14:schemeClr w14:val="tx1"/>
                  </w14:solidFill>
                </w14:textFill>
              </w:rPr>
              <w:t>。</w:t>
            </w:r>
          </w:p>
          <w:p w14:paraId="51AC2D00">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应在中标后向招标代理人支付招标代理服务费。此项费用由</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综合考虑到投标报价中，不单独列项报价。</w:t>
            </w:r>
          </w:p>
        </w:tc>
      </w:tr>
      <w:tr w14:paraId="61C3D5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62" w:type="dxa"/>
            <w:vAlign w:val="center"/>
          </w:tcPr>
          <w:p w14:paraId="436BCED6">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32</w:t>
            </w:r>
          </w:p>
        </w:tc>
        <w:tc>
          <w:tcPr>
            <w:tcW w:w="2155" w:type="dxa"/>
            <w:vAlign w:val="center"/>
          </w:tcPr>
          <w:p w14:paraId="039AC5BF">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付款方式</w:t>
            </w:r>
          </w:p>
        </w:tc>
        <w:tc>
          <w:tcPr>
            <w:tcW w:w="6131" w:type="dxa"/>
            <w:vAlign w:val="center"/>
          </w:tcPr>
          <w:p w14:paraId="1F113F96">
            <w:pPr>
              <w:pStyle w:val="55"/>
              <w:widowControl w:val="0"/>
              <w:spacing w:line="440" w:lineRule="exact"/>
              <w:ind w:firstLine="0"/>
              <w:rPr>
                <w:rFonts w:hint="eastAsia" w:ascii="宋体" w:hAnsi="宋体" w:eastAsia="宋体" w:cs="宋体"/>
                <w:color w:val="000000" w:themeColor="text1"/>
                <w:sz w:val="21"/>
                <w:highlight w:val="none"/>
                <w:lang w:eastAsia="zh-CN"/>
                <w14:textFill>
                  <w14:solidFill>
                    <w14:schemeClr w14:val="tx1"/>
                  </w14:solidFill>
                </w14:textFill>
              </w:rPr>
            </w:pPr>
            <w:r>
              <w:rPr>
                <w:rFonts w:hint="eastAsia" w:ascii="宋体" w:hAnsi="宋体" w:eastAsia="宋体" w:cs="宋体"/>
                <w:color w:val="000000" w:themeColor="text1"/>
                <w:sz w:val="21"/>
                <w:highlight w:val="none"/>
                <w:lang w:eastAsia="zh-CN"/>
                <w14:textFill>
                  <w14:solidFill>
                    <w14:schemeClr w14:val="tx1"/>
                  </w14:solidFill>
                </w14:textFill>
              </w:rPr>
              <w:t>合同签订后，甲方向乙方支付合同总价的 30%；乙方收到款项后，将全部设备运送至甲方指定地点，完成设备安装、调试及相关培训工作。设备经甲方验收合格且所有工作全部完成后，甲方向乙方支付合同总价的70%尾款。</w:t>
            </w:r>
          </w:p>
        </w:tc>
      </w:tr>
      <w:tr w14:paraId="6EB4F9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3" w:hRule="atLeast"/>
          <w:jc w:val="center"/>
        </w:trPr>
        <w:tc>
          <w:tcPr>
            <w:tcW w:w="962" w:type="dxa"/>
            <w:vAlign w:val="center"/>
          </w:tcPr>
          <w:p w14:paraId="56EB173E">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33</w:t>
            </w:r>
          </w:p>
        </w:tc>
        <w:tc>
          <w:tcPr>
            <w:tcW w:w="8286" w:type="dxa"/>
            <w:gridSpan w:val="2"/>
            <w:vAlign w:val="center"/>
          </w:tcPr>
          <w:p w14:paraId="17BECF8E">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需要补充的其他内容</w:t>
            </w:r>
          </w:p>
        </w:tc>
      </w:tr>
      <w:tr w14:paraId="30E45D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9" w:hRule="atLeast"/>
          <w:jc w:val="center"/>
        </w:trPr>
        <w:tc>
          <w:tcPr>
            <w:tcW w:w="962" w:type="dxa"/>
            <w:vAlign w:val="center"/>
          </w:tcPr>
          <w:p w14:paraId="4DD6BB8A">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33.1</w:t>
            </w:r>
          </w:p>
        </w:tc>
        <w:tc>
          <w:tcPr>
            <w:tcW w:w="2155" w:type="dxa"/>
            <w:vAlign w:val="center"/>
          </w:tcPr>
          <w:p w14:paraId="655CF1E3">
            <w:pPr>
              <w:widowControl w:val="0"/>
              <w:spacing w:line="440" w:lineRule="exact"/>
              <w:jc w:val="center"/>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政采领域优化营商环境相关政策</w:t>
            </w:r>
          </w:p>
        </w:tc>
        <w:tc>
          <w:tcPr>
            <w:tcW w:w="6131" w:type="dxa"/>
            <w:vAlign w:val="center"/>
          </w:tcPr>
          <w:p w14:paraId="755FBDFD">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一、落实四个“一日办”精神：</w:t>
            </w:r>
          </w:p>
          <w:p w14:paraId="6AD185A8">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按照《平顶山市财政局关于压减政府采购各环节时限 进一步优化政府采购营商环境的通知》（平财购〔2021〕34号）通知，落实四个“一日办”精神：</w:t>
            </w:r>
          </w:p>
          <w:p w14:paraId="2A2037DC">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（1）在评审结束后1日内确定采购结果，同时对中标单位发出中标或成交通知书，并在网上进行公告；</w:t>
            </w:r>
          </w:p>
          <w:p w14:paraId="1A3E65D9">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（2）中标或成交通知书发出后，1日内与中标或成交供应商签订合同，合同签订当日完成合同备案工作；</w:t>
            </w:r>
          </w:p>
          <w:p w14:paraId="14708B32">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（3）政府采购项目供应商履约完成后，采购人应在供应商提出验收申请1个工作日内完成验收，同时在平顶山市政府采购网发布验收结果公告；</w:t>
            </w:r>
          </w:p>
          <w:p w14:paraId="7C1037EE">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（4）验收合格具备付款条件的项目，采购人要在1个工作日内按照合同约定支付项目资金。</w:t>
            </w:r>
          </w:p>
          <w:p w14:paraId="34544578">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注：签合同需法定代表人携带本人身份证（如为授权委托人，则携带法定代表人授权委托书及本人身份证）、单位公章、合同纸质版本一式六份及合同电子版。</w:t>
            </w:r>
          </w:p>
          <w:p w14:paraId="25D25900">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二、维护企业在政府采购活动中的知情权</w:t>
            </w:r>
          </w:p>
          <w:p w14:paraId="4E2C6EC1">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采用公开招标采购方式的政府采购项目，在公告中标结果的同时，对未通过资格审查的投标人，采购人或者采购代理机构应告知其未通过的原因；采用综合评分法评审的，还应当告知未中标人本人的评审得分与排序。采用竞争性谈判、竞争性磋商、询价、单一来源采购方式的政府采购项目，对供应商未实质性响应的文件按无效响应处理的，采购人或者采购代理机构应当告知供应商原因。</w:t>
            </w:r>
          </w:p>
          <w:p w14:paraId="109C96A3">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三、提供中小企业声明函格式</w:t>
            </w:r>
          </w:p>
          <w:p w14:paraId="63DE9767">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在采购文件中，采购代理机构应按照财政部、工信部印发的《政府采购促进中小企业发展管理办法》的通知精神（财库〔2020〕46号）提供中小企业声明函格式。</w:t>
            </w:r>
          </w:p>
          <w:p w14:paraId="310D8D9C">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根据《政府采购促进中小企业发展管理办法》（财库〔2020〕46号）第四条：在政府采购活动中，供应商提供的货物、工程或者服务符合下列情形的，享受本办法规定的中小企业扶持政策：</w:t>
            </w:r>
          </w:p>
          <w:p w14:paraId="1EF89796">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（一）在货物采购项目中，货物由中小企业制造，即货物由中小企业生产且使用该中小企业商号或者注册商标；</w:t>
            </w:r>
          </w:p>
          <w:p w14:paraId="1FD9FAFA">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（二）在工程采购项目中，工程由中小企业承建，即工程施工单位为中小企业；</w:t>
            </w:r>
          </w:p>
          <w:p w14:paraId="14BB9C06">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（三）在服务采购项目中，服务由中小企业承接，即提供服务的人员为中小企业依照《中华人民共和国劳动合同法》订立劳动合同的从业人员。</w:t>
            </w:r>
          </w:p>
          <w:p w14:paraId="4CE20449">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在货物采购项目中，供应商提供的货物既有中小企业制造货物，也有大型企业制造货物的，不享受本办法规定的中小企业扶持政策。</w:t>
            </w:r>
          </w:p>
          <w:p w14:paraId="431210E6">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30E48888">
            <w:pPr>
              <w:spacing w:line="440" w:lineRule="exact"/>
              <w:rPr>
                <w:rStyle w:val="166"/>
                <w:rFonts w:hint="eastAsia" w:ascii="宋体" w:hAnsi="宋体" w:cs="宋体"/>
                <w:color w:val="000000" w:themeColor="text1"/>
                <w:highlight w:val="none"/>
                <w:lang w:val="en-US" w:eastAsia="zh-CN"/>
                <w14:textFill>
                  <w14:solidFill>
                    <w14:schemeClr w14:val="tx1"/>
                  </w14:solidFill>
                </w14:textFill>
              </w:rPr>
            </w:pPr>
            <w:r>
              <w:rPr>
                <w:rStyle w:val="166"/>
                <w:rFonts w:hint="eastAsia" w:ascii="宋体" w:hAnsi="宋体" w:cs="宋体"/>
                <w:color w:val="000000" w:themeColor="text1"/>
                <w:highlight w:val="none"/>
                <w:lang w:val="en-US" w:eastAsia="zh-CN"/>
                <w14:textFill>
                  <w14:solidFill>
                    <w14:schemeClr w14:val="tx1"/>
                  </w14:solidFill>
                </w14:textFill>
              </w:rPr>
              <w:t>（四）落实《关于在政府采购中实施本国产品标准及相关政策的通知》</w:t>
            </w:r>
          </w:p>
          <w:p w14:paraId="612B74BB">
            <w:pPr>
              <w:spacing w:line="440" w:lineRule="exact"/>
              <w:rPr>
                <w:rStyle w:val="166"/>
                <w:rFonts w:hint="eastAsia" w:ascii="宋体" w:hAnsi="宋体" w:cs="宋体"/>
                <w:color w:val="000000" w:themeColor="text1"/>
                <w:highlight w:val="none"/>
                <w:lang w:val="en-US" w:eastAsia="zh-CN"/>
                <w14:textFill>
                  <w14:solidFill>
                    <w14:schemeClr w14:val="tx1"/>
                  </w14:solidFill>
                </w14:textFill>
              </w:rPr>
            </w:pPr>
            <w:r>
              <w:rPr>
                <w:rStyle w:val="166"/>
                <w:rFonts w:hint="eastAsia" w:ascii="宋体" w:hAnsi="宋体" w:cs="宋体"/>
                <w:color w:val="000000" w:themeColor="text1"/>
                <w:highlight w:val="none"/>
                <w:lang w:val="en-US" w:eastAsia="zh-CN"/>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4BF6D79A">
            <w:pPr>
              <w:spacing w:line="440" w:lineRule="exact"/>
              <w:rPr>
                <w:rStyle w:val="166"/>
                <w:rFonts w:hint="eastAsia" w:ascii="宋体" w:hAnsi="宋体" w:cs="宋体"/>
                <w:color w:val="000000" w:themeColor="text1"/>
                <w:highlight w:val="none"/>
                <w:lang w:val="en-US" w:eastAsia="zh-CN"/>
                <w14:textFill>
                  <w14:solidFill>
                    <w14:schemeClr w14:val="tx1"/>
                  </w14:solidFill>
                </w14:textFill>
              </w:rPr>
            </w:pPr>
            <w:r>
              <w:rPr>
                <w:rStyle w:val="166"/>
                <w:rFonts w:hint="eastAsia" w:ascii="宋体" w:hAnsi="宋体" w:cs="宋体"/>
                <w:color w:val="000000" w:themeColor="text1"/>
                <w:highlight w:val="none"/>
                <w:lang w:val="en-US" w:eastAsia="zh-CN"/>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A7DFC4C">
            <w:pPr>
              <w:spacing w:line="440" w:lineRule="exact"/>
              <w:rPr>
                <w:rStyle w:val="166"/>
                <w:rFonts w:hint="eastAsia" w:ascii="宋体" w:hAnsi="宋体" w:cs="宋体"/>
                <w:color w:val="000000" w:themeColor="text1"/>
                <w:highlight w:val="none"/>
                <w:lang w:val="en-US" w:eastAsia="zh-CN"/>
                <w14:textFill>
                  <w14:solidFill>
                    <w14:schemeClr w14:val="tx1"/>
                  </w14:solidFill>
                </w14:textFill>
              </w:rPr>
            </w:pPr>
            <w:r>
              <w:rPr>
                <w:rStyle w:val="166"/>
                <w:rFonts w:hint="eastAsia" w:ascii="宋体" w:hAnsi="宋体" w:cs="宋体"/>
                <w:color w:val="000000" w:themeColor="text1"/>
                <w:highlight w:val="none"/>
                <w:lang w:val="en-US" w:eastAsia="zh-CN"/>
                <w14:textFill>
                  <w14:solidFill>
                    <w14:schemeClr w14:val="tx1"/>
                  </w14:solidFill>
                </w14:textFill>
              </w:rPr>
              <w:t>中国境内生产的组件成本核算基本规则见《国务院办公厅关于在政府采购中实施本国产品标准及相关政策的通知》（国办发〔2025〕34号）。</w:t>
            </w:r>
          </w:p>
          <w:p w14:paraId="03A9DD8C">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lang w:val="en-US" w:eastAsia="zh-CN"/>
                <w14:textFill>
                  <w14:solidFill>
                    <w14:schemeClr w14:val="tx1"/>
                  </w14:solidFill>
                </w14:textFill>
              </w:rPr>
              <w:t>供应商对其提供的产品出具《关于符合本国产品标准的声明函》（详见投标格式）或财政部会同有关部门规定的有关证明文件,否则不给予价格扣除政策。</w:t>
            </w:r>
          </w:p>
          <w:p w14:paraId="46AAAF1B">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四、推广政府采购合同融资</w:t>
            </w:r>
          </w:p>
          <w:p w14:paraId="311A0942">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要求采购人和代理机构将“政府采购合同融资告知函”写入竞争性磋商文件，鼓励中标供应商凭借采购合同申请贷款，助力解决中小企业融资难、融资贵的问题。</w:t>
            </w:r>
          </w:p>
          <w:p w14:paraId="696812C8">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五、落实预留采购份额</w:t>
            </w:r>
          </w:p>
          <w:p w14:paraId="1CB61313">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采购人应当按照财政部、工信部印发的《政府采购促进中小企业发展管理办法》的通知精神（财库〔2020〕46号）组织评估本部门及所属单位政府采购项目，统筹制定面向中小企业预留采购份额的具体方案，对适宜由中小企业提供的采购项目和采购包，预留采购份额专门面向中小企业采购，并在政府采购预算中单独列示。采购限额标准以上，200万元以下的货物和服务采购项目、400万元以下的工程采购项目，适宜由中小企业提供的，采购单位应当专门面向中小企业采购。超过200万元的货物和服务采购项目、超过400 万元的工程采购项目中适宜由中小企业提供的，预留该部分采购项目预算总额的30%以上专门面向中小企业采购，其中预留给小微企业的比例不低于60%。确实不适宜由中小企业提供的，应当参照《政府采购促进中小企业发展管理办法》第六条在采购文件中说明理由。按照平顶山市财政局出台的《平顶山市财政局关于进一步加大政府采购支持中小企业力度的通知》（平财购〔2022〕8号）的规定：超过400万元的工程采购项目中适宜由中小企业提供的，采购人在坚持公开公正、公平竞争原则和统一质量标准的前提下，2022年下半年面向中小企业的预留份额由30%以上阶段性提高至40%以上，其中预留给小微企业的比例不低于60%。</w:t>
            </w:r>
          </w:p>
          <w:p w14:paraId="70B5695A">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六、落实价格评审优惠政策</w:t>
            </w:r>
          </w:p>
          <w:p w14:paraId="1E6D932F">
            <w:pPr>
              <w:pStyle w:val="71"/>
              <w:widowControl w:val="0"/>
              <w:spacing w:line="440" w:lineRule="exact"/>
              <w:ind w:firstLine="210"/>
              <w:jc w:val="left"/>
              <w:rPr>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对于未预留份额专门面向中小企业采购的采购项目，以及预留份额项目中的非预留部分采购包，采购人、采购代理机构应当对符合《政府采购促进中小企业发展管理办法》（财库〔2020〕46号）规定的小微企业报价给予6%—10%（工程项目为 3%—5%）的扣除，用扣除后的价格参加评审。大中型企业与小微企业组成联合体或者大中型企业向小微企业分包的（联合协议或者分包意向协议约定小微企业的合同份额应占合同总金额的30%以上），给予联合体或大中型企业2%—3%（工程项目为1%—2%）的价格扣除优惠，用扣除后的价格参加评审。按照平顶山市财政局出台的《平顶山市财政局关于进一步加大政府采购支持中小企业力度的通知》（平财购〔2022〕8号）的规定：采购人在货物和服务采购项目中， 对于经主管预算单位统筹后未预留份额专门面向中小企业的采购项目，以及预留份额项目中的非预留部分采购包，给予小微企业10%—20%的价格扣除优惠。大中型企业与小微企业组成联合体或者大中型企业向小微企业分包的（联合协议或者分包意向协议约定小微企业的合同份额应占合同总金额的30%以上），给予联合体或大中型企业4%—6%的价格扣除优惠，用扣除后的价格参加评审。鼓励采购人结合采购标的相关行业平均利润率、市场竞争状况等从高选择价格扣除比例和评审优惠幅度，支持中小企业发展。上述政策应当在评审办法中注明确定值。</w:t>
            </w:r>
          </w:p>
        </w:tc>
      </w:tr>
      <w:tr w14:paraId="76B519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4" w:hRule="atLeast"/>
          <w:jc w:val="center"/>
        </w:trPr>
        <w:tc>
          <w:tcPr>
            <w:tcW w:w="962" w:type="dxa"/>
            <w:vAlign w:val="center"/>
          </w:tcPr>
          <w:p w14:paraId="6460CBAC">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33.2</w:t>
            </w:r>
          </w:p>
        </w:tc>
        <w:tc>
          <w:tcPr>
            <w:tcW w:w="2155" w:type="dxa"/>
            <w:vAlign w:val="center"/>
          </w:tcPr>
          <w:p w14:paraId="009AC39F">
            <w:pPr>
              <w:widowControl w:val="0"/>
              <w:spacing w:line="440" w:lineRule="exact"/>
              <w:jc w:val="center"/>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落实绿色产品（节能产品、环境标志产品）优先采购政策。</w:t>
            </w:r>
          </w:p>
        </w:tc>
        <w:tc>
          <w:tcPr>
            <w:tcW w:w="6131" w:type="dxa"/>
            <w:vAlign w:val="center"/>
          </w:tcPr>
          <w:p w14:paraId="16E12074">
            <w:pPr>
              <w:widowControl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按相关政府采购政策执行，在技术、服务等指标同等条件下，应当优先采购《节能产品政府采购品目清单》、《环境标志产品政府采购品目清单》的产品。</w:t>
            </w:r>
          </w:p>
        </w:tc>
      </w:tr>
      <w:tr w14:paraId="67E5AE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4" w:hRule="atLeast"/>
          <w:jc w:val="center"/>
        </w:trPr>
        <w:tc>
          <w:tcPr>
            <w:tcW w:w="962" w:type="dxa"/>
            <w:vAlign w:val="center"/>
          </w:tcPr>
          <w:p w14:paraId="201E5E41">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33.3</w:t>
            </w:r>
          </w:p>
        </w:tc>
        <w:tc>
          <w:tcPr>
            <w:tcW w:w="2155" w:type="dxa"/>
            <w:vAlign w:val="center"/>
          </w:tcPr>
          <w:p w14:paraId="0B5496DE">
            <w:pPr>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本项目所属行业</w:t>
            </w:r>
          </w:p>
        </w:tc>
        <w:tc>
          <w:tcPr>
            <w:tcW w:w="6131" w:type="dxa"/>
            <w:vAlign w:val="center"/>
          </w:tcPr>
          <w:p w14:paraId="655908A8">
            <w:pPr>
              <w:pStyle w:val="20"/>
              <w:spacing w:after="0" w:line="440" w:lineRule="exact"/>
              <w:ind w:right="105" w:rightChars="50" w:firstLine="0" w:firstLineChars="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采购标的所属行业：工业</w:t>
            </w:r>
          </w:p>
          <w:p w14:paraId="5018952A">
            <w:pPr>
              <w:pStyle w:val="20"/>
              <w:spacing w:after="0" w:line="440" w:lineRule="exact"/>
              <w:ind w:right="105" w:rightChars="50" w:firstLine="0" w:firstLineChars="0"/>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划定标准（行业属性划分参照关于印发中小企业划型标准规定的通知(工信部联企业〔2011〕300号) ）</w:t>
            </w:r>
          </w:p>
        </w:tc>
      </w:tr>
      <w:tr w14:paraId="648FFBB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4" w:hRule="atLeast"/>
          <w:jc w:val="center"/>
        </w:trPr>
        <w:tc>
          <w:tcPr>
            <w:tcW w:w="962" w:type="dxa"/>
            <w:vAlign w:val="center"/>
          </w:tcPr>
          <w:p w14:paraId="5D90B6C9">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33.4</w:t>
            </w:r>
          </w:p>
        </w:tc>
        <w:tc>
          <w:tcPr>
            <w:tcW w:w="2155" w:type="dxa"/>
            <w:vAlign w:val="center"/>
          </w:tcPr>
          <w:p w14:paraId="77B9F946">
            <w:pPr>
              <w:widowControl w:val="0"/>
              <w:spacing w:line="440" w:lineRule="exact"/>
              <w:jc w:val="center"/>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合同签订方式</w:t>
            </w:r>
          </w:p>
        </w:tc>
        <w:tc>
          <w:tcPr>
            <w:tcW w:w="6131" w:type="dxa"/>
            <w:vAlign w:val="center"/>
          </w:tcPr>
          <w:p w14:paraId="3BB8A284">
            <w:pPr>
              <w:pStyle w:val="71"/>
              <w:widowControl w:val="0"/>
              <w:spacing w:line="440" w:lineRule="exact"/>
              <w:ind w:right="105" w:rightChars="50" w:firstLine="0" w:firstLineChars="0"/>
              <w:rPr>
                <w:rFonts w:hint="eastAsia" w:ascii="宋体" w:hAnsi="宋体" w:cs="宋体"/>
                <w:color w:val="000000" w:themeColor="text1"/>
                <w:highlight w:val="none"/>
                <w:lang w:val="zh-TW"/>
                <w14:textFill>
                  <w14:solidFill>
                    <w14:schemeClr w14:val="tx1"/>
                  </w14:solidFill>
                </w14:textFill>
              </w:rPr>
            </w:pPr>
            <w:r>
              <w:rPr>
                <w:rFonts w:hint="eastAsia" w:ascii="宋体" w:hAnsi="宋体" w:cs="宋体"/>
                <w:color w:val="000000" w:themeColor="text1"/>
                <w:highlight w:val="none"/>
                <w:lang w:val="zh-TW"/>
                <w14:textFill>
                  <w14:solidFill>
                    <w14:schemeClr w14:val="tx1"/>
                  </w14:solidFill>
                </w14:textFill>
              </w:rPr>
              <w:t>合同在线签订，采购人与中标人（供应商）利用平顶山公共资源交易平台“合同在线签订模块”，将电子合同推送至对方进行审核，经双方确认均无异议通过后，进行在线签章，完成合同签订并公示。</w:t>
            </w:r>
          </w:p>
        </w:tc>
      </w:tr>
      <w:tr w14:paraId="58F73D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7" w:hRule="atLeast"/>
          <w:jc w:val="center"/>
        </w:trPr>
        <w:tc>
          <w:tcPr>
            <w:tcW w:w="962" w:type="dxa"/>
            <w:vAlign w:val="center"/>
          </w:tcPr>
          <w:p w14:paraId="4A419364">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33.5</w:t>
            </w:r>
          </w:p>
        </w:tc>
        <w:tc>
          <w:tcPr>
            <w:tcW w:w="2155" w:type="dxa"/>
            <w:vAlign w:val="center"/>
          </w:tcPr>
          <w:p w14:paraId="4686664D">
            <w:pPr>
              <w:pStyle w:val="32"/>
              <w:spacing w:line="440" w:lineRule="exact"/>
              <w:jc w:val="center"/>
              <w:rPr>
                <w:rFonts w:hint="eastAsia" w:hAnsi="宋体" w:cs="宋体"/>
                <w:b/>
                <w:bCs/>
                <w:color w:val="000000" w:themeColor="text1"/>
                <w:kern w:val="2"/>
                <w:sz w:val="21"/>
                <w:szCs w:val="21"/>
                <w:highlight w:val="none"/>
                <w14:textFill>
                  <w14:solidFill>
                    <w14:schemeClr w14:val="tx1"/>
                  </w14:solidFill>
                </w14:textFill>
              </w:rPr>
            </w:pPr>
            <w:r>
              <w:rPr>
                <w:rFonts w:hint="eastAsia" w:hAnsi="宋体" w:cs="宋体"/>
                <w:b/>
                <w:bCs/>
                <w:color w:val="000000" w:themeColor="text1"/>
                <w:kern w:val="2"/>
                <w:sz w:val="21"/>
                <w:szCs w:val="21"/>
                <w:highlight w:val="none"/>
                <w14:textFill>
                  <w14:solidFill>
                    <w14:schemeClr w14:val="tx1"/>
                  </w14:solidFill>
                </w14:textFill>
              </w:rPr>
              <w:t>★专家特别注意</w:t>
            </w:r>
          </w:p>
          <w:p w14:paraId="07ADCD32">
            <w:pPr>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“四方信用评价”须知（采购人、代理机构、本项目评审专家、本项目中标供应商）</w:t>
            </w:r>
          </w:p>
        </w:tc>
        <w:tc>
          <w:tcPr>
            <w:tcW w:w="6131" w:type="dxa"/>
            <w:vAlign w:val="center"/>
          </w:tcPr>
          <w:p w14:paraId="78D1DD9C">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《河南省政府采购网》目前已增加“四方信用评价”功能。请本项目采购人、代理机构、本项目评审专家、本项目中标供应商，按照评价时间节点按时完成评价工作。</w:t>
            </w:r>
          </w:p>
          <w:p w14:paraId="5DCF1C07">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时间节点在评审结束后的五个工作日内。如果超期未评价，系统会默认超期不让评价。注：请各方注意时间，避免因超期未评价影响自身信用！</w:t>
            </w:r>
          </w:p>
          <w:p w14:paraId="1BBA1025">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1.采购人、采购代理机构应当在评审工作结束后五个工作日内对评审专家进行评价。</w:t>
            </w:r>
          </w:p>
          <w:p w14:paraId="30D6AE35">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2.采购人、评审专家、供应商应当在评审工作结束后五个工作日内对代理机构进行评价。</w:t>
            </w:r>
          </w:p>
          <w:p w14:paraId="5E49D3B3">
            <w:pPr>
              <w:spacing w:line="440" w:lineRule="exact"/>
              <w:rPr>
                <w:rStyle w:val="166"/>
                <w:rFonts w:hint="eastAsia" w:ascii="宋体" w:hAnsi="宋体" w:cs="宋体"/>
                <w:color w:val="000000" w:themeColor="text1"/>
                <w:highlight w:val="none"/>
                <w14:textFill>
                  <w14:solidFill>
                    <w14:schemeClr w14:val="tx1"/>
                  </w14:solidFill>
                </w14:textFill>
              </w:rPr>
            </w:pPr>
            <w:r>
              <w:rPr>
                <w:rStyle w:val="166"/>
                <w:rFonts w:hint="eastAsia" w:ascii="宋体" w:hAnsi="宋体" w:cs="宋体"/>
                <w:color w:val="000000" w:themeColor="text1"/>
                <w:highlight w:val="none"/>
                <w14:textFill>
                  <w14:solidFill>
                    <w14:schemeClr w14:val="tx1"/>
                  </w14:solidFill>
                </w14:textFill>
              </w:rPr>
              <w:t>3.采购人应当在合同履约完成后对中标供应商进行评价。</w:t>
            </w:r>
          </w:p>
          <w:p w14:paraId="7D631231">
            <w:pPr>
              <w:pStyle w:val="20"/>
              <w:spacing w:after="0" w:line="440" w:lineRule="exact"/>
              <w:ind w:right="105" w:rightChars="50" w:firstLine="0" w:firstLineChars="0"/>
              <w:rPr>
                <w:rFonts w:hint="eastAsia" w:ascii="宋体" w:hAnsi="宋体" w:cs="宋体"/>
                <w:color w:val="000000" w:themeColor="text1"/>
                <w:sz w:val="21"/>
                <w:szCs w:val="21"/>
                <w:highlight w:val="none"/>
                <w14:textFill>
                  <w14:solidFill>
                    <w14:schemeClr w14:val="tx1"/>
                  </w14:solidFill>
                </w14:textFill>
              </w:rPr>
            </w:pPr>
            <w:r>
              <w:rPr>
                <w:rStyle w:val="166"/>
                <w:rFonts w:hint="eastAsia" w:ascii="宋体" w:hAnsi="宋体" w:cs="宋体"/>
                <w:color w:val="000000" w:themeColor="text1"/>
                <w:sz w:val="21"/>
                <w:szCs w:val="21"/>
                <w:highlight w:val="none"/>
                <w14:textFill>
                  <w14:solidFill>
                    <w14:schemeClr w14:val="tx1"/>
                  </w14:solidFill>
                </w14:textFill>
              </w:rPr>
              <w:t>4.中标供应商应当在合同履约完成后对采购人进行评价。</w:t>
            </w:r>
          </w:p>
        </w:tc>
      </w:tr>
      <w:tr w14:paraId="01F2FF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4" w:hRule="atLeast"/>
          <w:jc w:val="center"/>
        </w:trPr>
        <w:tc>
          <w:tcPr>
            <w:tcW w:w="962" w:type="dxa"/>
            <w:vAlign w:val="center"/>
          </w:tcPr>
          <w:p w14:paraId="7EEAEF7E">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33.6</w:t>
            </w:r>
          </w:p>
        </w:tc>
        <w:tc>
          <w:tcPr>
            <w:tcW w:w="2155" w:type="dxa"/>
            <w:vAlign w:val="center"/>
          </w:tcPr>
          <w:p w14:paraId="61EA018F">
            <w:pPr>
              <w:widowControl w:val="0"/>
              <w:spacing w:line="440" w:lineRule="exact"/>
              <w:jc w:val="center"/>
              <w:rPr>
                <w:rFonts w:hint="eastAsia" w:ascii="宋体" w:hAnsi="宋体" w:cs="宋体"/>
                <w:color w:val="000000" w:themeColor="text1"/>
                <w:highlight w:val="none"/>
                <w:lang w:bidi="ar"/>
                <w14:textFill>
                  <w14:solidFill>
                    <w14:schemeClr w14:val="tx1"/>
                  </w14:solidFill>
                </w14:textFill>
              </w:rPr>
            </w:pPr>
            <w:r>
              <w:rPr>
                <w:rFonts w:hint="eastAsia" w:ascii="宋体" w:hAnsi="宋体" w:cs="宋体"/>
                <w:color w:val="000000" w:themeColor="text1"/>
                <w:highlight w:val="none"/>
                <w:lang w:bidi="ar"/>
                <w14:textFill>
                  <w14:solidFill>
                    <w14:schemeClr w14:val="tx1"/>
                  </w14:solidFill>
                </w14:textFill>
              </w:rPr>
              <w:t>开标程序</w:t>
            </w:r>
          </w:p>
        </w:tc>
        <w:tc>
          <w:tcPr>
            <w:tcW w:w="6131" w:type="dxa"/>
            <w:vAlign w:val="center"/>
          </w:tcPr>
          <w:p w14:paraId="5EEF1D98">
            <w:pPr>
              <w:widowControl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开标时，投标人采用网上远程异地解密时，请用CA证书登录平顶山市公共资源交易中心业务系统，进入本项目开标大厅点击解密来完成投标文件的解密工作。每位投标人的解密时间从开标时间起60分钟内完成，超过规定时间解密的投标文件不予接收。</w:t>
            </w:r>
          </w:p>
          <w:p w14:paraId="13A746C5">
            <w:pPr>
              <w:widowControl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2、如出现投标人的电子投标文件无法解密的情况，投标人应及时联系采购人（代理机构）进行说明。投标文件解密异常，按以下步骤进行处理：</w:t>
            </w:r>
          </w:p>
          <w:p w14:paraId="7E9EC85C">
            <w:pPr>
              <w:widowControl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（1）如果是投标文件自身问题导致投标文件无法解密的，该投标文件将不予接收、解密。</w:t>
            </w:r>
          </w:p>
          <w:p w14:paraId="0C422AEE">
            <w:pPr>
              <w:widowControl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（2）如果是电子化交易系统问题造成投标文件无法解密的，将由技术人员进行排查处理。如短时间内问题无法解决的，将由采购人（代理机构）联系监督部门申请暂停开标，待问题解决后继续开标。</w:t>
            </w:r>
          </w:p>
          <w:p w14:paraId="4BB11C5D">
            <w:pPr>
              <w:widowControl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3、所有投标文件解密完成后，由采购人（代理机构）操作，对开标结果进行公示。</w:t>
            </w:r>
          </w:p>
          <w:p w14:paraId="32D20577">
            <w:pPr>
              <w:widowControl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4、投标人应保证在开标期间电话、电脑、网络等能够正常使用，投标人因停电、电脑病毒、网络堵塞等原因，未在规定的解密时间内对投标文件进行解密的，其投标文件不予接收。</w:t>
            </w:r>
          </w:p>
          <w:p w14:paraId="12C093EB">
            <w:pPr>
              <w:widowControl w:val="0"/>
              <w:spacing w:line="440" w:lineRule="exac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解密完成后，投标人可登录到交易系统查看自己的投标报价。如对自己的报价内容有异议的，应在报价内容显示后20分钟内联系采购人（代理机构）进行质疑，投标人未在规定时间内提出质疑的，视为认可开标结果显示内容。</w:t>
            </w:r>
          </w:p>
        </w:tc>
      </w:tr>
      <w:tr w14:paraId="14D226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4" w:hRule="atLeast"/>
          <w:jc w:val="center"/>
        </w:trPr>
        <w:tc>
          <w:tcPr>
            <w:tcW w:w="962" w:type="dxa"/>
            <w:vAlign w:val="center"/>
          </w:tcPr>
          <w:p w14:paraId="02CEB7D1">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33.7</w:t>
            </w:r>
          </w:p>
        </w:tc>
        <w:tc>
          <w:tcPr>
            <w:tcW w:w="2155" w:type="dxa"/>
            <w:vAlign w:val="center"/>
          </w:tcPr>
          <w:p w14:paraId="2510E5F3">
            <w:pPr>
              <w:widowControl w:val="0"/>
              <w:spacing w:line="440" w:lineRule="exact"/>
              <w:jc w:val="center"/>
              <w:rPr>
                <w:rFonts w:hint="eastAsia"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质保期</w:t>
            </w:r>
          </w:p>
        </w:tc>
        <w:tc>
          <w:tcPr>
            <w:tcW w:w="6131" w:type="dxa"/>
            <w:vAlign w:val="center"/>
          </w:tcPr>
          <w:p w14:paraId="06057A60">
            <w:pPr>
              <w:widowControl w:val="0"/>
              <w:spacing w:line="440" w:lineRule="exac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kern w:val="0"/>
                <w:highlight w:val="none"/>
                <w:lang w:eastAsia="zh-CN"/>
                <w14:textFill>
                  <w14:solidFill>
                    <w14:schemeClr w14:val="tx1"/>
                  </w14:solidFill>
                </w14:textFill>
              </w:rPr>
              <w:t>3年（其中空调质保按照国家或行业标准执行），质保期自设备安装验收合格之日起计算。</w:t>
            </w:r>
          </w:p>
        </w:tc>
      </w:tr>
      <w:tr w14:paraId="192D2D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4" w:hRule="atLeast"/>
          <w:jc w:val="center"/>
        </w:trPr>
        <w:tc>
          <w:tcPr>
            <w:tcW w:w="962" w:type="dxa"/>
            <w:vAlign w:val="center"/>
          </w:tcPr>
          <w:p w14:paraId="4CBC51CE">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33.8</w:t>
            </w:r>
          </w:p>
        </w:tc>
        <w:tc>
          <w:tcPr>
            <w:tcW w:w="2155" w:type="dxa"/>
            <w:vAlign w:val="center"/>
          </w:tcPr>
          <w:p w14:paraId="73F5D036">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设备维修</w:t>
            </w:r>
          </w:p>
        </w:tc>
        <w:tc>
          <w:tcPr>
            <w:tcW w:w="6131" w:type="dxa"/>
            <w:vAlign w:val="center"/>
          </w:tcPr>
          <w:p w14:paraId="672C3E7F">
            <w:pPr>
              <w:widowControl w:val="0"/>
              <w:spacing w:line="440" w:lineRule="exact"/>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质保期内所有</w:t>
            </w:r>
            <w:r>
              <w:rPr>
                <w:rFonts w:hint="eastAsia" w:ascii="宋体" w:hAnsi="宋体" w:cs="宋体"/>
                <w:color w:val="000000" w:themeColor="text1"/>
                <w:highlight w:val="none"/>
                <w14:textFill>
                  <w14:solidFill>
                    <w14:schemeClr w14:val="tx1"/>
                  </w14:solidFill>
                </w14:textFill>
              </w:rPr>
              <w:t>设备维修及更换所产生的费用，由中标供应商承担</w:t>
            </w:r>
          </w:p>
        </w:tc>
      </w:tr>
      <w:tr w14:paraId="3F6B1F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4" w:hRule="atLeast"/>
          <w:jc w:val="center"/>
        </w:trPr>
        <w:tc>
          <w:tcPr>
            <w:tcW w:w="962" w:type="dxa"/>
            <w:vAlign w:val="center"/>
          </w:tcPr>
          <w:p w14:paraId="21BF074A">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33.9</w:t>
            </w:r>
          </w:p>
        </w:tc>
        <w:tc>
          <w:tcPr>
            <w:tcW w:w="2155" w:type="dxa"/>
            <w:vAlign w:val="center"/>
          </w:tcPr>
          <w:p w14:paraId="5D89855E">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中标公示</w:t>
            </w:r>
          </w:p>
        </w:tc>
        <w:tc>
          <w:tcPr>
            <w:tcW w:w="6131" w:type="dxa"/>
            <w:vAlign w:val="center"/>
          </w:tcPr>
          <w:p w14:paraId="1F70DC30">
            <w:pPr>
              <w:widowControl w:val="0"/>
              <w:spacing w:line="440" w:lineRule="exact"/>
              <w:rPr>
                <w:rFonts w:hint="eastAsia"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在中标通知书发出前，采购人将中标供应商的情况予以公告，公告期不少于1个工作日。</w:t>
            </w:r>
          </w:p>
        </w:tc>
      </w:tr>
      <w:tr w14:paraId="743DDA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4" w:hRule="atLeast"/>
          <w:jc w:val="center"/>
        </w:trPr>
        <w:tc>
          <w:tcPr>
            <w:tcW w:w="962" w:type="dxa"/>
            <w:vAlign w:val="center"/>
          </w:tcPr>
          <w:p w14:paraId="00462997">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33.10</w:t>
            </w:r>
          </w:p>
        </w:tc>
        <w:tc>
          <w:tcPr>
            <w:tcW w:w="2155" w:type="dxa"/>
            <w:vAlign w:val="center"/>
          </w:tcPr>
          <w:p w14:paraId="079914A4">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★供应商特别注意</w:t>
            </w:r>
          </w:p>
        </w:tc>
        <w:tc>
          <w:tcPr>
            <w:tcW w:w="6131" w:type="dxa"/>
            <w:vAlign w:val="center"/>
          </w:tcPr>
          <w:p w14:paraId="19F306C2">
            <w:pPr>
              <w:pStyle w:val="20"/>
              <w:widowControl w:val="0"/>
              <w:spacing w:after="0" w:line="440" w:lineRule="exact"/>
              <w:ind w:left="63" w:leftChars="30" w:right="105" w:rightChars="50" w:firstLine="0" w:firstLineChars="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开标前需在“河南省政府采购网”完成供应商注册，以备中标后合同公示能够提取到供应商相关信息。</w:t>
            </w:r>
          </w:p>
        </w:tc>
      </w:tr>
      <w:tr w14:paraId="0661F6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3" w:hRule="atLeast"/>
          <w:jc w:val="center"/>
        </w:trPr>
        <w:tc>
          <w:tcPr>
            <w:tcW w:w="962" w:type="dxa"/>
            <w:vAlign w:val="center"/>
          </w:tcPr>
          <w:p w14:paraId="20C0FE31">
            <w:pPr>
              <w:pStyle w:val="51"/>
              <w:widowControl w:val="0"/>
              <w:spacing w:line="440" w:lineRule="exact"/>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33.11</w:t>
            </w:r>
          </w:p>
        </w:tc>
        <w:tc>
          <w:tcPr>
            <w:tcW w:w="2155" w:type="dxa"/>
            <w:vAlign w:val="center"/>
          </w:tcPr>
          <w:p w14:paraId="3C909B33">
            <w:pPr>
              <w:widowControl w:val="0"/>
              <w:spacing w:line="440" w:lineRule="exact"/>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解释权</w:t>
            </w:r>
          </w:p>
        </w:tc>
        <w:tc>
          <w:tcPr>
            <w:tcW w:w="6131" w:type="dxa"/>
            <w:vAlign w:val="center"/>
          </w:tcPr>
          <w:p w14:paraId="6ABA48A6">
            <w:pPr>
              <w:widowControl w:val="0"/>
              <w:spacing w:line="440" w:lineRule="exac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本招标文件解释权归采购人。</w:t>
            </w:r>
          </w:p>
        </w:tc>
      </w:tr>
    </w:tbl>
    <w:p w14:paraId="1ACB3CF5">
      <w:pPr>
        <w:jc w:val="center"/>
        <w:outlineLvl w:val="1"/>
        <w:rPr>
          <w:rStyle w:val="39"/>
          <w:rFonts w:hint="eastAsia" w:ascii="宋体" w:hAnsi="宋体" w:eastAsia="宋体"/>
          <w:color w:val="000000" w:themeColor="text1"/>
          <w:highlight w:val="none"/>
          <w14:textFill>
            <w14:solidFill>
              <w14:schemeClr w14:val="tx1"/>
            </w14:solidFill>
          </w14:textFill>
        </w:rPr>
      </w:pPr>
      <w:bookmarkStart w:id="13" w:name="_Toc5927"/>
      <w:bookmarkEnd w:id="13"/>
      <w:bookmarkStart w:id="14" w:name="_Toc318932193"/>
      <w:bookmarkEnd w:id="14"/>
      <w:bookmarkStart w:id="15" w:name="_Toc25986"/>
      <w:bookmarkStart w:id="16" w:name="_Toc6784"/>
      <w:r>
        <w:rPr>
          <w:rStyle w:val="39"/>
          <w:rFonts w:hint="eastAsia" w:ascii="宋体" w:hAnsi="宋体" w:eastAsia="宋体"/>
          <w:color w:val="000000" w:themeColor="text1"/>
          <w:highlight w:val="none"/>
          <w14:textFill>
            <w14:solidFill>
              <w14:schemeClr w14:val="tx1"/>
            </w14:solidFill>
          </w14:textFill>
        </w:rPr>
        <w:t>二．</w:t>
      </w:r>
      <w:r>
        <w:rPr>
          <w:rStyle w:val="39"/>
          <w:rFonts w:hint="eastAsia" w:ascii="宋体" w:hAnsi="宋体"/>
          <w:color w:val="000000" w:themeColor="text1"/>
          <w:highlight w:val="none"/>
          <w14:textFill>
            <w14:solidFill>
              <w14:schemeClr w14:val="tx1"/>
            </w14:solidFill>
          </w14:textFill>
        </w:rPr>
        <w:t>供应商</w:t>
      </w:r>
      <w:r>
        <w:rPr>
          <w:rStyle w:val="39"/>
          <w:rFonts w:hint="eastAsia" w:ascii="宋体" w:hAnsi="宋体" w:eastAsia="宋体"/>
          <w:color w:val="000000" w:themeColor="text1"/>
          <w:highlight w:val="none"/>
          <w14:textFill>
            <w14:solidFill>
              <w14:schemeClr w14:val="tx1"/>
            </w14:solidFill>
          </w14:textFill>
        </w:rPr>
        <w:t>须知</w:t>
      </w:r>
      <w:bookmarkEnd w:id="15"/>
      <w:bookmarkEnd w:id="16"/>
    </w:p>
    <w:p w14:paraId="2F7E69F3">
      <w:pPr>
        <w:spacing w:before="156" w:after="156" w:line="420" w:lineRule="exact"/>
        <w:jc w:val="center"/>
        <w:rPr>
          <w:rFonts w:hint="eastAsia"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（一）总  则</w:t>
      </w:r>
    </w:p>
    <w:p w14:paraId="369E4540">
      <w:pPr>
        <w:snapToGrid w:val="0"/>
        <w:spacing w:before="156" w:after="156" w:line="440" w:lineRule="exact"/>
        <w:jc w:val="left"/>
        <w:rPr>
          <w:rFonts w:hint="eastAsia" w:ascii="宋体" w:hAnsi="宋体"/>
          <w:b/>
          <w:bCs/>
          <w:color w:val="000000" w:themeColor="text1"/>
          <w:kern w:val="0"/>
          <w:sz w:val="24"/>
          <w:szCs w:val="24"/>
          <w:highlight w:val="none"/>
          <w14:textFill>
            <w14:solidFill>
              <w14:schemeClr w14:val="tx1"/>
            </w14:solidFill>
          </w14:textFill>
        </w:rPr>
      </w:pPr>
      <w:r>
        <w:rPr>
          <w:rFonts w:hint="eastAsia" w:ascii="宋体" w:hAnsi="宋体"/>
          <w:b/>
          <w:bCs/>
          <w:color w:val="000000" w:themeColor="text1"/>
          <w:kern w:val="0"/>
          <w:sz w:val="24"/>
          <w:szCs w:val="24"/>
          <w:highlight w:val="none"/>
          <w14:textFill>
            <w14:solidFill>
              <w14:schemeClr w14:val="tx1"/>
            </w14:solidFill>
          </w14:textFill>
        </w:rPr>
        <w:t>1.项目说明</w:t>
      </w:r>
    </w:p>
    <w:p w14:paraId="694D703B">
      <w:pPr>
        <w:spacing w:line="44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1.1</w:t>
      </w:r>
      <w:r>
        <w:rPr>
          <w:rFonts w:hint="eastAsia" w:ascii="宋体" w:hAnsi="宋体"/>
          <w:color w:val="000000" w:themeColor="text1"/>
          <w:kern w:val="0"/>
          <w:sz w:val="24"/>
          <w:highlight w:val="none"/>
          <w14:textFill>
            <w14:solidFill>
              <w14:schemeClr w14:val="tx1"/>
            </w14:solidFill>
          </w14:textFill>
        </w:rPr>
        <w:t>根据《中华人民共和国政府采购法》及《政府采购货物和服务招标投标管理办法》等有关法律、法规和规章的规定，本招标项目已具备招标条件，现通过招标方式选定供货商。</w:t>
      </w:r>
    </w:p>
    <w:p w14:paraId="731EA5B5">
      <w:pPr>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1.2 本项目采购人：见</w:t>
      </w:r>
      <w:r>
        <w:rPr>
          <w:rFonts w:hint="eastAsia" w:ascii="宋体" w:hAnsi="宋体"/>
          <w:color w:val="000000" w:themeColor="text1"/>
          <w:kern w:val="0"/>
          <w:sz w:val="24"/>
          <w:szCs w:val="24"/>
          <w:highlight w:val="none"/>
          <w:lang w:eastAsia="zh-CN"/>
          <w14:textFill>
            <w14:solidFill>
              <w14:schemeClr w14:val="tx1"/>
            </w14:solidFill>
          </w14:textFill>
        </w:rPr>
        <w:t>供应商</w:t>
      </w:r>
      <w:r>
        <w:rPr>
          <w:rFonts w:hint="eastAsia" w:ascii="宋体" w:hAnsi="宋体"/>
          <w:color w:val="000000" w:themeColor="text1"/>
          <w:kern w:val="0"/>
          <w:sz w:val="24"/>
          <w:szCs w:val="24"/>
          <w:highlight w:val="none"/>
          <w14:textFill>
            <w14:solidFill>
              <w14:schemeClr w14:val="tx1"/>
            </w14:solidFill>
          </w14:textFill>
        </w:rPr>
        <w:t>须知前附表。</w:t>
      </w:r>
    </w:p>
    <w:p w14:paraId="33C5A2E2">
      <w:pPr>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1.3 本项目采购代理机构：见</w:t>
      </w:r>
      <w:r>
        <w:rPr>
          <w:rFonts w:hint="eastAsia" w:ascii="宋体" w:hAnsi="宋体"/>
          <w:color w:val="000000" w:themeColor="text1"/>
          <w:kern w:val="0"/>
          <w:sz w:val="24"/>
          <w:szCs w:val="24"/>
          <w:highlight w:val="none"/>
          <w:lang w:eastAsia="zh-CN"/>
          <w14:textFill>
            <w14:solidFill>
              <w14:schemeClr w14:val="tx1"/>
            </w14:solidFill>
          </w14:textFill>
        </w:rPr>
        <w:t>供应商</w:t>
      </w:r>
      <w:r>
        <w:rPr>
          <w:rFonts w:hint="eastAsia" w:ascii="宋体" w:hAnsi="宋体"/>
          <w:color w:val="000000" w:themeColor="text1"/>
          <w:kern w:val="0"/>
          <w:sz w:val="24"/>
          <w:szCs w:val="24"/>
          <w:highlight w:val="none"/>
          <w14:textFill>
            <w14:solidFill>
              <w14:schemeClr w14:val="tx1"/>
            </w14:solidFill>
          </w14:textFill>
        </w:rPr>
        <w:t>须知前附表。</w:t>
      </w:r>
    </w:p>
    <w:p w14:paraId="17335092">
      <w:pPr>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1.4 本项目名称：见</w:t>
      </w:r>
      <w:r>
        <w:rPr>
          <w:rFonts w:hint="eastAsia" w:ascii="宋体" w:hAnsi="宋体"/>
          <w:color w:val="000000" w:themeColor="text1"/>
          <w:kern w:val="0"/>
          <w:sz w:val="24"/>
          <w:szCs w:val="24"/>
          <w:highlight w:val="none"/>
          <w:lang w:eastAsia="zh-CN"/>
          <w14:textFill>
            <w14:solidFill>
              <w14:schemeClr w14:val="tx1"/>
            </w14:solidFill>
          </w14:textFill>
        </w:rPr>
        <w:t>供应商</w:t>
      </w:r>
      <w:r>
        <w:rPr>
          <w:rFonts w:hint="eastAsia" w:ascii="宋体" w:hAnsi="宋体"/>
          <w:color w:val="000000" w:themeColor="text1"/>
          <w:kern w:val="0"/>
          <w:sz w:val="24"/>
          <w:szCs w:val="24"/>
          <w:highlight w:val="none"/>
          <w14:textFill>
            <w14:solidFill>
              <w14:schemeClr w14:val="tx1"/>
            </w14:solidFill>
          </w14:textFill>
        </w:rPr>
        <w:t>须知前附表。</w:t>
      </w:r>
    </w:p>
    <w:p w14:paraId="6142725F">
      <w:pPr>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1.5 本项目采购内容：见</w:t>
      </w:r>
      <w:r>
        <w:rPr>
          <w:rFonts w:hint="eastAsia" w:ascii="宋体" w:hAnsi="宋体"/>
          <w:color w:val="000000" w:themeColor="text1"/>
          <w:kern w:val="0"/>
          <w:sz w:val="24"/>
          <w:szCs w:val="24"/>
          <w:highlight w:val="none"/>
          <w:lang w:eastAsia="zh-CN"/>
          <w14:textFill>
            <w14:solidFill>
              <w14:schemeClr w14:val="tx1"/>
            </w14:solidFill>
          </w14:textFill>
        </w:rPr>
        <w:t>供应商</w:t>
      </w:r>
      <w:r>
        <w:rPr>
          <w:rFonts w:hint="eastAsia" w:ascii="宋体" w:hAnsi="宋体"/>
          <w:color w:val="000000" w:themeColor="text1"/>
          <w:kern w:val="0"/>
          <w:sz w:val="24"/>
          <w:szCs w:val="24"/>
          <w:highlight w:val="none"/>
          <w14:textFill>
            <w14:solidFill>
              <w14:schemeClr w14:val="tx1"/>
            </w14:solidFill>
          </w14:textFill>
        </w:rPr>
        <w:t>须知前附表。</w:t>
      </w:r>
    </w:p>
    <w:p w14:paraId="61FEA543">
      <w:pPr>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1.6 本项目</w:t>
      </w:r>
      <w:r>
        <w:rPr>
          <w:rFonts w:hint="eastAsia" w:ascii="宋体" w:hAnsi="宋体"/>
          <w:color w:val="000000" w:themeColor="text1"/>
          <w:sz w:val="24"/>
          <w:highlight w:val="none"/>
          <w14:textFill>
            <w14:solidFill>
              <w14:schemeClr w14:val="tx1"/>
            </w14:solidFill>
          </w14:textFill>
        </w:rPr>
        <w:t>交货及安装周期、</w:t>
      </w:r>
      <w:r>
        <w:rPr>
          <w:rFonts w:hint="eastAsia" w:ascii="宋体" w:hAnsi="宋体"/>
          <w:color w:val="000000" w:themeColor="text1"/>
          <w:kern w:val="0"/>
          <w:sz w:val="24"/>
          <w:szCs w:val="24"/>
          <w:highlight w:val="none"/>
          <w14:textFill>
            <w14:solidFill>
              <w14:schemeClr w14:val="tx1"/>
            </w14:solidFill>
          </w14:textFill>
        </w:rPr>
        <w:t>交货地点：见</w:t>
      </w:r>
      <w:r>
        <w:rPr>
          <w:rFonts w:hint="eastAsia" w:ascii="宋体" w:hAnsi="宋体"/>
          <w:color w:val="000000" w:themeColor="text1"/>
          <w:kern w:val="0"/>
          <w:sz w:val="24"/>
          <w:szCs w:val="24"/>
          <w:highlight w:val="none"/>
          <w:lang w:eastAsia="zh-CN"/>
          <w14:textFill>
            <w14:solidFill>
              <w14:schemeClr w14:val="tx1"/>
            </w14:solidFill>
          </w14:textFill>
        </w:rPr>
        <w:t>供应商</w:t>
      </w:r>
      <w:r>
        <w:rPr>
          <w:rFonts w:hint="eastAsia" w:ascii="宋体" w:hAnsi="宋体"/>
          <w:color w:val="000000" w:themeColor="text1"/>
          <w:kern w:val="0"/>
          <w:sz w:val="24"/>
          <w:szCs w:val="24"/>
          <w:highlight w:val="none"/>
          <w14:textFill>
            <w14:solidFill>
              <w14:schemeClr w14:val="tx1"/>
            </w14:solidFill>
          </w14:textFill>
        </w:rPr>
        <w:t>须知前附表。</w:t>
      </w:r>
    </w:p>
    <w:p w14:paraId="3DF9F74A">
      <w:pPr>
        <w:snapToGrid w:val="0"/>
        <w:spacing w:before="156" w:after="156" w:line="440" w:lineRule="exact"/>
        <w:jc w:val="left"/>
        <w:rPr>
          <w:rFonts w:hint="eastAsia" w:ascii="宋体" w:hAnsi="宋体"/>
          <w:b/>
          <w:bCs/>
          <w:color w:val="000000" w:themeColor="text1"/>
          <w:kern w:val="0"/>
          <w:sz w:val="24"/>
          <w:szCs w:val="24"/>
          <w:highlight w:val="none"/>
          <w14:textFill>
            <w14:solidFill>
              <w14:schemeClr w14:val="tx1"/>
            </w14:solidFill>
          </w14:textFill>
        </w:rPr>
      </w:pPr>
      <w:r>
        <w:rPr>
          <w:rFonts w:hint="eastAsia" w:ascii="宋体" w:hAnsi="宋体"/>
          <w:b/>
          <w:bCs/>
          <w:color w:val="000000" w:themeColor="text1"/>
          <w:kern w:val="0"/>
          <w:sz w:val="24"/>
          <w:szCs w:val="24"/>
          <w:highlight w:val="none"/>
          <w14:textFill>
            <w14:solidFill>
              <w14:schemeClr w14:val="tx1"/>
            </w14:solidFill>
          </w14:textFill>
        </w:rPr>
        <w:t>2.有关定义</w:t>
      </w:r>
    </w:p>
    <w:p w14:paraId="71C9AFFF">
      <w:pPr>
        <w:tabs>
          <w:tab w:val="left" w:pos="540"/>
        </w:tabs>
        <w:spacing w:line="440" w:lineRule="exact"/>
        <w:ind w:firstLine="493"/>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2.1 采购人：采购人系指依法进行政府采购的国家机关、事业单位、团体组织。本次招标的采购人是</w:t>
      </w:r>
      <w:r>
        <w:rPr>
          <w:rFonts w:hint="eastAsia" w:ascii="宋体" w:hAnsi="宋体"/>
          <w:color w:val="000000" w:themeColor="text1"/>
          <w:kern w:val="0"/>
          <w:sz w:val="24"/>
          <w:szCs w:val="24"/>
          <w:highlight w:val="none"/>
          <w:lang w:eastAsia="zh-CN"/>
          <w14:textFill>
            <w14:solidFill>
              <w14:schemeClr w14:val="tx1"/>
            </w14:solidFill>
          </w14:textFill>
        </w:rPr>
        <w:t>平顶山市工业学校</w:t>
      </w:r>
      <w:r>
        <w:rPr>
          <w:rFonts w:hint="eastAsia" w:ascii="宋体" w:hAnsi="宋体"/>
          <w:color w:val="000000" w:themeColor="text1"/>
          <w:kern w:val="0"/>
          <w:sz w:val="24"/>
          <w:szCs w:val="24"/>
          <w:highlight w:val="none"/>
          <w14:textFill>
            <w14:solidFill>
              <w14:schemeClr w14:val="tx1"/>
            </w14:solidFill>
          </w14:textFill>
        </w:rPr>
        <w:t>。</w:t>
      </w:r>
    </w:p>
    <w:p w14:paraId="3F9112B6">
      <w:pPr>
        <w:tabs>
          <w:tab w:val="left" w:pos="540"/>
        </w:tabs>
        <w:spacing w:line="440" w:lineRule="exact"/>
        <w:ind w:firstLine="493"/>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2.2 采购代理机构：采购代理机构系指根据采购人的委托依法办理招标事宜的中介机构。本次招标的采购代理机构是指受采购人委托组织招标的河南荣之鑫工程管理有限公司。</w:t>
      </w:r>
    </w:p>
    <w:p w14:paraId="0D307B31">
      <w:pPr>
        <w:shd w:val="clear" w:color="auto" w:fill="FFFFFF"/>
        <w:tabs>
          <w:tab w:val="left" w:pos="7665"/>
        </w:tabs>
        <w:snapToGrid w:val="0"/>
        <w:spacing w:line="440" w:lineRule="exact"/>
        <w:ind w:firstLine="480" w:firstLine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2.3合格的</w:t>
      </w:r>
      <w:r>
        <w:rPr>
          <w:rFonts w:hint="eastAsia" w:ascii="宋体" w:hAnsi="宋体"/>
          <w:color w:val="000000" w:themeColor="text1"/>
          <w:kern w:val="0"/>
          <w:sz w:val="24"/>
          <w:szCs w:val="24"/>
          <w:highlight w:val="none"/>
          <w:lang w:eastAsia="zh-CN"/>
          <w14:textFill>
            <w14:solidFill>
              <w14:schemeClr w14:val="tx1"/>
            </w14:solidFill>
          </w14:textFill>
        </w:rPr>
        <w:t>供应商</w:t>
      </w:r>
    </w:p>
    <w:p w14:paraId="19B9A235">
      <w:pPr>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2.3.1具备</w:t>
      </w:r>
      <w:r>
        <w:rPr>
          <w:rFonts w:hint="eastAsia" w:ascii="宋体" w:hAnsi="宋体"/>
          <w:color w:val="000000" w:themeColor="text1"/>
          <w:kern w:val="0"/>
          <w:sz w:val="24"/>
          <w:szCs w:val="24"/>
          <w:highlight w:val="none"/>
          <w:lang w:eastAsia="zh-CN"/>
          <w14:textFill>
            <w14:solidFill>
              <w14:schemeClr w14:val="tx1"/>
            </w14:solidFill>
          </w14:textFill>
        </w:rPr>
        <w:t>供应商</w:t>
      </w:r>
      <w:r>
        <w:rPr>
          <w:rFonts w:hint="eastAsia" w:ascii="宋体" w:hAnsi="宋体"/>
          <w:color w:val="000000" w:themeColor="text1"/>
          <w:kern w:val="0"/>
          <w:sz w:val="24"/>
          <w:szCs w:val="24"/>
          <w:highlight w:val="none"/>
          <w14:textFill>
            <w14:solidFill>
              <w14:schemeClr w14:val="tx1"/>
            </w14:solidFill>
          </w14:textFill>
        </w:rPr>
        <w:t>资质要求的条件，见</w:t>
      </w:r>
      <w:r>
        <w:rPr>
          <w:rFonts w:hint="eastAsia" w:ascii="宋体" w:hAnsi="宋体"/>
          <w:color w:val="000000" w:themeColor="text1"/>
          <w:kern w:val="0"/>
          <w:sz w:val="24"/>
          <w:szCs w:val="24"/>
          <w:highlight w:val="none"/>
          <w:lang w:eastAsia="zh-CN"/>
          <w14:textFill>
            <w14:solidFill>
              <w14:schemeClr w14:val="tx1"/>
            </w14:solidFill>
          </w14:textFill>
        </w:rPr>
        <w:t>供应商</w:t>
      </w:r>
      <w:r>
        <w:rPr>
          <w:rFonts w:hint="eastAsia" w:ascii="宋体" w:hAnsi="宋体"/>
          <w:color w:val="000000" w:themeColor="text1"/>
          <w:kern w:val="0"/>
          <w:sz w:val="24"/>
          <w:szCs w:val="24"/>
          <w:highlight w:val="none"/>
          <w14:textFill>
            <w14:solidFill>
              <w14:schemeClr w14:val="tx1"/>
            </w14:solidFill>
          </w14:textFill>
        </w:rPr>
        <w:t>须知前附表；</w:t>
      </w:r>
    </w:p>
    <w:p w14:paraId="485D8BA1">
      <w:pPr>
        <w:shd w:val="clear" w:color="auto" w:fill="FFFFFF"/>
        <w:tabs>
          <w:tab w:val="left" w:pos="7665"/>
        </w:tabs>
        <w:snapToGrid w:val="0"/>
        <w:spacing w:line="440" w:lineRule="exact"/>
        <w:ind w:firstLine="480" w:firstLineChars="200"/>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2.3.2购买了</w:t>
      </w:r>
      <w:r>
        <w:rPr>
          <w:rFonts w:hint="eastAsia" w:ascii="宋体" w:hAnsi="宋体"/>
          <w:color w:val="000000" w:themeColor="text1"/>
          <w:sz w:val="24"/>
          <w:szCs w:val="24"/>
          <w:highlight w:val="none"/>
          <w14:textFill>
            <w14:solidFill>
              <w14:schemeClr w14:val="tx1"/>
            </w14:solidFill>
          </w14:textFill>
        </w:rPr>
        <w:t>招标文件拟参加投标和向采购人提供货物及相应服务的</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w:t>
      </w:r>
    </w:p>
    <w:p w14:paraId="0351D55A">
      <w:pPr>
        <w:shd w:val="clear" w:color="auto" w:fill="FFFFFF"/>
        <w:tabs>
          <w:tab w:val="left" w:pos="7665"/>
        </w:tabs>
        <w:snapToGrid w:val="0"/>
        <w:spacing w:line="440" w:lineRule="exact"/>
        <w:ind w:firstLine="480" w:firstLineChars="200"/>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2.3.3遵守国家有关的法律、法规和条例。</w:t>
      </w:r>
    </w:p>
    <w:p w14:paraId="23EA80BA">
      <w:pPr>
        <w:snapToGrid w:val="0"/>
        <w:spacing w:before="156" w:after="156" w:line="440" w:lineRule="exact"/>
        <w:jc w:val="left"/>
        <w:rPr>
          <w:rFonts w:hint="eastAsia" w:ascii="宋体" w:hAnsi="宋体"/>
          <w:b/>
          <w:bCs/>
          <w:color w:val="000000" w:themeColor="text1"/>
          <w:kern w:val="0"/>
          <w:sz w:val="24"/>
          <w:szCs w:val="24"/>
          <w:highlight w:val="none"/>
          <w14:textFill>
            <w14:solidFill>
              <w14:schemeClr w14:val="tx1"/>
            </w14:solidFill>
          </w14:textFill>
        </w:rPr>
      </w:pPr>
      <w:bookmarkStart w:id="17" w:name="_Toc179632552"/>
      <w:bookmarkEnd w:id="17"/>
      <w:bookmarkStart w:id="18" w:name="_Toc152045535"/>
      <w:bookmarkEnd w:id="18"/>
      <w:bookmarkStart w:id="19" w:name="_Toc292893102"/>
      <w:bookmarkEnd w:id="19"/>
      <w:bookmarkStart w:id="20" w:name="_Toc152042311"/>
      <w:bookmarkEnd w:id="20"/>
      <w:bookmarkStart w:id="21" w:name="_Toc144974503"/>
      <w:bookmarkEnd w:id="21"/>
      <w:r>
        <w:rPr>
          <w:rFonts w:hint="eastAsia" w:ascii="宋体" w:hAnsi="宋体"/>
          <w:b/>
          <w:bCs/>
          <w:color w:val="000000" w:themeColor="text1"/>
          <w:kern w:val="0"/>
          <w:sz w:val="24"/>
          <w:szCs w:val="24"/>
          <w:highlight w:val="none"/>
          <w14:textFill>
            <w14:solidFill>
              <w14:schemeClr w14:val="tx1"/>
            </w14:solidFill>
          </w14:textFill>
        </w:rPr>
        <w:t>3.费用承担</w:t>
      </w:r>
    </w:p>
    <w:p w14:paraId="3D44972E">
      <w:pPr>
        <w:spacing w:line="440" w:lineRule="exact"/>
        <w:ind w:firstLine="480" w:firstLineChars="200"/>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lang w:eastAsia="zh-CN"/>
          <w14:textFill>
            <w14:solidFill>
              <w14:schemeClr w14:val="tx1"/>
            </w14:solidFill>
          </w14:textFill>
        </w:rPr>
        <w:t>供应商</w:t>
      </w:r>
      <w:r>
        <w:rPr>
          <w:rFonts w:hint="eastAsia" w:ascii="宋体" w:hAnsi="宋体"/>
          <w:color w:val="000000" w:themeColor="text1"/>
          <w:kern w:val="0"/>
          <w:sz w:val="24"/>
          <w:szCs w:val="24"/>
          <w:highlight w:val="none"/>
          <w14:textFill>
            <w14:solidFill>
              <w14:schemeClr w14:val="tx1"/>
            </w14:solidFill>
          </w14:textFill>
        </w:rPr>
        <w:t>应承担其编制招标文件与递交投标文件所涉及的一切费用。不管结果如何，</w:t>
      </w:r>
      <w:r>
        <w:rPr>
          <w:rFonts w:hint="eastAsia" w:ascii="宋体" w:hAnsi="宋体"/>
          <w:color w:val="000000" w:themeColor="text1"/>
          <w:kern w:val="0"/>
          <w:sz w:val="24"/>
          <w:szCs w:val="24"/>
          <w:highlight w:val="none"/>
          <w:lang w:eastAsia="zh-CN"/>
          <w14:textFill>
            <w14:solidFill>
              <w14:schemeClr w14:val="tx1"/>
            </w14:solidFill>
          </w14:textFill>
        </w:rPr>
        <w:t>供应商</w:t>
      </w:r>
      <w:r>
        <w:rPr>
          <w:rFonts w:hint="eastAsia" w:ascii="宋体" w:hAnsi="宋体"/>
          <w:color w:val="000000" w:themeColor="text1"/>
          <w:kern w:val="0"/>
          <w:sz w:val="24"/>
          <w:szCs w:val="24"/>
          <w:highlight w:val="none"/>
          <w14:textFill>
            <w14:solidFill>
              <w14:schemeClr w14:val="tx1"/>
            </w14:solidFill>
          </w14:textFill>
        </w:rPr>
        <w:t>应自行承担投标的全部费用。</w:t>
      </w:r>
    </w:p>
    <w:p w14:paraId="717ADF73">
      <w:pPr>
        <w:snapToGrid w:val="0"/>
        <w:spacing w:before="156" w:after="156" w:line="440" w:lineRule="exact"/>
        <w:jc w:val="left"/>
        <w:rPr>
          <w:rFonts w:hint="eastAsia" w:ascii="宋体" w:hAnsi="宋体"/>
          <w:b/>
          <w:bCs/>
          <w:color w:val="000000" w:themeColor="text1"/>
          <w:kern w:val="0"/>
          <w:sz w:val="24"/>
          <w:szCs w:val="24"/>
          <w:highlight w:val="none"/>
          <w14:textFill>
            <w14:solidFill>
              <w14:schemeClr w14:val="tx1"/>
            </w14:solidFill>
          </w14:textFill>
        </w:rPr>
      </w:pPr>
      <w:bookmarkStart w:id="22" w:name="_Toc152042313"/>
      <w:bookmarkEnd w:id="22"/>
      <w:bookmarkStart w:id="23" w:name="_Toc179632554"/>
      <w:bookmarkEnd w:id="23"/>
      <w:bookmarkStart w:id="24" w:name="_Toc144974505"/>
      <w:bookmarkEnd w:id="24"/>
      <w:bookmarkStart w:id="25" w:name="_Toc152045537"/>
      <w:bookmarkEnd w:id="25"/>
      <w:bookmarkStart w:id="26" w:name="_Toc292893103"/>
      <w:bookmarkEnd w:id="26"/>
      <w:r>
        <w:rPr>
          <w:rFonts w:hint="eastAsia" w:ascii="宋体" w:hAnsi="宋体"/>
          <w:b/>
          <w:bCs/>
          <w:color w:val="000000" w:themeColor="text1"/>
          <w:kern w:val="0"/>
          <w:sz w:val="24"/>
          <w:szCs w:val="24"/>
          <w:highlight w:val="none"/>
          <w14:textFill>
            <w14:solidFill>
              <w14:schemeClr w14:val="tx1"/>
            </w14:solidFill>
          </w14:textFill>
        </w:rPr>
        <w:t>4.语言文字</w:t>
      </w:r>
    </w:p>
    <w:p w14:paraId="2D726E05">
      <w:pPr>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除专用术语外，与招标投标有关的语言均使用中文。专用术语应附有中文注释。</w:t>
      </w:r>
    </w:p>
    <w:p w14:paraId="70332A7B">
      <w:pPr>
        <w:spacing w:before="156" w:after="156" w:line="440" w:lineRule="exact"/>
        <w:jc w:val="center"/>
        <w:rPr>
          <w:rFonts w:hint="eastAsia"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（二）招标文件</w:t>
      </w:r>
    </w:p>
    <w:p w14:paraId="3D1AF0F3">
      <w:pPr>
        <w:snapToGrid w:val="0"/>
        <w:spacing w:before="156" w:after="156" w:line="440" w:lineRule="exact"/>
        <w:jc w:val="left"/>
        <w:rPr>
          <w:rFonts w:hint="eastAsia" w:ascii="宋体" w:hAnsi="宋体"/>
          <w:b/>
          <w:bCs/>
          <w:color w:val="000000" w:themeColor="text1"/>
          <w:kern w:val="0"/>
          <w:sz w:val="24"/>
          <w:szCs w:val="24"/>
          <w:highlight w:val="none"/>
          <w14:textFill>
            <w14:solidFill>
              <w14:schemeClr w14:val="tx1"/>
            </w14:solidFill>
          </w14:textFill>
        </w:rPr>
      </w:pPr>
      <w:r>
        <w:rPr>
          <w:rFonts w:hint="eastAsia" w:ascii="宋体" w:hAnsi="宋体"/>
          <w:b/>
          <w:bCs/>
          <w:color w:val="000000" w:themeColor="text1"/>
          <w:kern w:val="0"/>
          <w:sz w:val="24"/>
          <w:szCs w:val="24"/>
          <w:highlight w:val="none"/>
          <w14:textFill>
            <w14:solidFill>
              <w14:schemeClr w14:val="tx1"/>
            </w14:solidFill>
          </w14:textFill>
        </w:rPr>
        <w:t>5.招标文件的组成</w:t>
      </w:r>
    </w:p>
    <w:p w14:paraId="629A7FEB">
      <w:pPr>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本招标文件包括：</w:t>
      </w:r>
    </w:p>
    <w:p w14:paraId="7E4D0607">
      <w:pPr>
        <w:shd w:val="clear" w:color="auto" w:fill="FFFFFF"/>
        <w:tabs>
          <w:tab w:val="left" w:pos="7665"/>
        </w:tabs>
        <w:snapToGrid w:val="0"/>
        <w:spacing w:line="440" w:lineRule="exact"/>
        <w:ind w:firstLine="480" w:firstLineChars="200"/>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（1）招标公告</w:t>
      </w:r>
    </w:p>
    <w:p w14:paraId="7808C528">
      <w:pPr>
        <w:shd w:val="clear" w:color="auto" w:fill="FFFFFF"/>
        <w:tabs>
          <w:tab w:val="left" w:pos="7665"/>
        </w:tabs>
        <w:snapToGrid w:val="0"/>
        <w:spacing w:line="440" w:lineRule="exact"/>
        <w:ind w:firstLine="480" w:firstLineChars="200"/>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（2）</w:t>
      </w:r>
      <w:r>
        <w:rPr>
          <w:rFonts w:hint="eastAsia" w:ascii="宋体" w:hAnsi="宋体"/>
          <w:color w:val="000000" w:themeColor="text1"/>
          <w:kern w:val="0"/>
          <w:sz w:val="24"/>
          <w:szCs w:val="24"/>
          <w:highlight w:val="none"/>
          <w:lang w:eastAsia="zh-CN"/>
          <w14:textFill>
            <w14:solidFill>
              <w14:schemeClr w14:val="tx1"/>
            </w14:solidFill>
          </w14:textFill>
        </w:rPr>
        <w:t>供应商</w:t>
      </w:r>
      <w:r>
        <w:rPr>
          <w:rFonts w:hint="eastAsia" w:ascii="宋体" w:hAnsi="宋体"/>
          <w:color w:val="000000" w:themeColor="text1"/>
          <w:kern w:val="0"/>
          <w:sz w:val="24"/>
          <w:szCs w:val="24"/>
          <w:highlight w:val="none"/>
          <w14:textFill>
            <w14:solidFill>
              <w14:schemeClr w14:val="tx1"/>
            </w14:solidFill>
          </w14:textFill>
        </w:rPr>
        <w:t>须知</w:t>
      </w:r>
    </w:p>
    <w:p w14:paraId="4A4574C9">
      <w:pPr>
        <w:shd w:val="clear" w:color="auto" w:fill="FFFFFF"/>
        <w:tabs>
          <w:tab w:val="left" w:pos="7665"/>
        </w:tabs>
        <w:snapToGrid w:val="0"/>
        <w:spacing w:line="440" w:lineRule="exact"/>
        <w:ind w:firstLine="480" w:firstLineChars="200"/>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（3）评标办法</w:t>
      </w:r>
    </w:p>
    <w:p w14:paraId="7005C191">
      <w:pPr>
        <w:shd w:val="clear" w:color="auto" w:fill="FFFFFF"/>
        <w:tabs>
          <w:tab w:val="left" w:pos="7665"/>
        </w:tabs>
        <w:snapToGrid w:val="0"/>
        <w:spacing w:line="440" w:lineRule="exact"/>
        <w:ind w:firstLine="480" w:firstLineChars="200"/>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（4）合同条款及格式</w:t>
      </w:r>
    </w:p>
    <w:p w14:paraId="38BA9599">
      <w:pPr>
        <w:shd w:val="clear" w:color="auto" w:fill="FFFFFF"/>
        <w:tabs>
          <w:tab w:val="left" w:pos="7665"/>
        </w:tabs>
        <w:snapToGrid w:val="0"/>
        <w:spacing w:line="440" w:lineRule="exact"/>
        <w:ind w:firstLine="480" w:firstLineChars="200"/>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（5）采购需求</w:t>
      </w:r>
    </w:p>
    <w:p w14:paraId="745944EF">
      <w:pPr>
        <w:shd w:val="clear" w:color="auto" w:fill="FFFFFF"/>
        <w:tabs>
          <w:tab w:val="left" w:pos="7665"/>
        </w:tabs>
        <w:snapToGrid w:val="0"/>
        <w:spacing w:line="440" w:lineRule="exact"/>
        <w:ind w:firstLine="480" w:firstLineChars="200"/>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（6）投标文件格式</w:t>
      </w:r>
    </w:p>
    <w:p w14:paraId="4654104E">
      <w:pPr>
        <w:snapToGrid w:val="0"/>
        <w:spacing w:before="156" w:after="156" w:line="440" w:lineRule="exact"/>
        <w:ind w:firstLine="480" w:firstLineChars="200"/>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根据本须知对招标文件所作的澄清、修改，构成招标文件的组成部分。</w:t>
      </w:r>
    </w:p>
    <w:p w14:paraId="230D0825">
      <w:pPr>
        <w:snapToGrid w:val="0"/>
        <w:spacing w:before="156" w:after="156" w:line="440" w:lineRule="exact"/>
        <w:jc w:val="left"/>
        <w:rPr>
          <w:rFonts w:hint="eastAsia" w:ascii="宋体" w:hAnsi="宋体"/>
          <w:b/>
          <w:bCs/>
          <w:color w:val="000000" w:themeColor="text1"/>
          <w:kern w:val="0"/>
          <w:sz w:val="24"/>
          <w:szCs w:val="24"/>
          <w:highlight w:val="none"/>
          <w14:textFill>
            <w14:solidFill>
              <w14:schemeClr w14:val="tx1"/>
            </w14:solidFill>
          </w14:textFill>
        </w:rPr>
      </w:pPr>
      <w:r>
        <w:rPr>
          <w:rFonts w:hint="eastAsia" w:ascii="宋体" w:hAnsi="宋体"/>
          <w:b/>
          <w:bCs/>
          <w:color w:val="000000" w:themeColor="text1"/>
          <w:kern w:val="0"/>
          <w:sz w:val="24"/>
          <w:szCs w:val="24"/>
          <w:highlight w:val="none"/>
          <w14:textFill>
            <w14:solidFill>
              <w14:schemeClr w14:val="tx1"/>
            </w14:solidFill>
          </w14:textFill>
        </w:rPr>
        <w:t>6. 招标文件的澄清和修改</w:t>
      </w:r>
    </w:p>
    <w:p w14:paraId="5883CCEC">
      <w:pPr>
        <w:shd w:val="clear" w:color="auto" w:fill="FFFFFF"/>
        <w:snapToGrid w:val="0"/>
        <w:spacing w:line="440" w:lineRule="exact"/>
        <w:ind w:firstLine="420" w:firstLineChars="175"/>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6.1</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应仔细阅读和检查招标文件的全部内容。如发现缺页或附件不全，应及时向采购人提出，以便补齐。</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若对招标文件有任何疑问，应在电子交易系统中向采购人提出澄清要求。无论是采购人根据需要主动对招标文件进行必要的澄清，或是根据</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的要求对招标文件作出澄清，采购人都将在电子交易系统中予以澄清，该答复作为招标文件的组成部分，具有约束作用。招标文件发出后，采购人可对招标文件进行必要的澄清或修改。</w:t>
      </w:r>
    </w:p>
    <w:p w14:paraId="319D64C9">
      <w:pPr>
        <w:shd w:val="clear" w:color="auto" w:fill="FFFFFF"/>
        <w:snapToGrid w:val="0"/>
        <w:spacing w:line="440" w:lineRule="exact"/>
        <w:ind w:firstLine="420" w:firstLineChars="175"/>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6.2招标文件的澄清、修改、补充等内容均以电子交易系统中发布的内容为准。当招标文件、招标文件的澄清、修改、补充等在同一内容的表述不一致时，以最后发出的文件为准。</w:t>
      </w:r>
    </w:p>
    <w:p w14:paraId="3E9B336E">
      <w:pPr>
        <w:shd w:val="clear" w:color="auto" w:fill="FFFFFF"/>
        <w:snapToGrid w:val="0"/>
        <w:spacing w:line="440" w:lineRule="exact"/>
        <w:ind w:firstLine="420" w:firstLineChars="175"/>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6.3为使</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在编制投标文件时有充分的时间对招标文件的澄清、修改、补充等内容进行研究，采购人将根据</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的延期投标意见酌情延长提交投标文件的截止时间，具体时间将在招标文件的修改、补充通知中予以明确；若所有</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认为招标文件的修改与补充不影响投标文件的编制，采购人将不予延长投标文件提交时间；若</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未提出书面延期投标意见且同意本项目开标时间，则采购人可以认为所有</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对招标文件的修改与补充通知不影响投标文件的编制，开标时间将不予延期。</w:t>
      </w:r>
    </w:p>
    <w:p w14:paraId="6342D0C8">
      <w:pPr>
        <w:snapToGrid w:val="0"/>
        <w:spacing w:before="156" w:after="156" w:line="440" w:lineRule="exact"/>
        <w:jc w:val="left"/>
        <w:rPr>
          <w:rFonts w:hint="eastAsia" w:ascii="宋体" w:hAnsi="宋体"/>
          <w:b/>
          <w:bCs/>
          <w:color w:val="000000" w:themeColor="text1"/>
          <w:kern w:val="0"/>
          <w:sz w:val="24"/>
          <w:szCs w:val="24"/>
          <w:highlight w:val="none"/>
          <w14:textFill>
            <w14:solidFill>
              <w14:schemeClr w14:val="tx1"/>
            </w14:solidFill>
          </w14:textFill>
        </w:rPr>
      </w:pPr>
      <w:r>
        <w:rPr>
          <w:rFonts w:hint="eastAsia" w:ascii="宋体" w:hAnsi="宋体"/>
          <w:b/>
          <w:bCs/>
          <w:color w:val="000000" w:themeColor="text1"/>
          <w:kern w:val="0"/>
          <w:sz w:val="24"/>
          <w:szCs w:val="24"/>
          <w:highlight w:val="none"/>
          <w14:textFill>
            <w14:solidFill>
              <w14:schemeClr w14:val="tx1"/>
            </w14:solidFill>
          </w14:textFill>
        </w:rPr>
        <w:t>7. 答疑会</w:t>
      </w:r>
    </w:p>
    <w:p w14:paraId="36D0BAFE">
      <w:pPr>
        <w:shd w:val="clear" w:color="auto" w:fill="FFFFFF"/>
        <w:snapToGrid w:val="0"/>
        <w:spacing w:line="440" w:lineRule="exact"/>
        <w:ind w:firstLine="420" w:firstLineChars="175"/>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不召开答疑会，</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将需答疑的问题以应在电子交易系统中向采购人提出澄清要求。</w:t>
      </w:r>
    </w:p>
    <w:p w14:paraId="246C6A70">
      <w:pPr>
        <w:spacing w:before="156" w:after="156" w:line="440" w:lineRule="exact"/>
        <w:jc w:val="center"/>
        <w:rPr>
          <w:rFonts w:hint="eastAsia"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（三）投标文件</w:t>
      </w:r>
    </w:p>
    <w:p w14:paraId="229494CA">
      <w:pPr>
        <w:shd w:val="clear" w:color="auto" w:fill="FFFFFF"/>
        <w:snapToGrid w:val="0"/>
        <w:spacing w:after="120" w:line="440" w:lineRule="exact"/>
        <w:rPr>
          <w:rFonts w:hint="eastAsia" w:ascii="宋体" w:hAnsi="宋体"/>
          <w:b/>
          <w:bCs/>
          <w:color w:val="000000" w:themeColor="text1"/>
          <w:kern w:val="0"/>
          <w:sz w:val="24"/>
          <w:szCs w:val="24"/>
          <w:highlight w:val="none"/>
          <w14:textFill>
            <w14:solidFill>
              <w14:schemeClr w14:val="tx1"/>
            </w14:solidFill>
          </w14:textFill>
        </w:rPr>
      </w:pPr>
      <w:r>
        <w:rPr>
          <w:rFonts w:hint="eastAsia" w:ascii="宋体" w:hAnsi="宋体"/>
          <w:b/>
          <w:bCs/>
          <w:color w:val="000000" w:themeColor="text1"/>
          <w:kern w:val="0"/>
          <w:sz w:val="24"/>
          <w:szCs w:val="24"/>
          <w:highlight w:val="none"/>
          <w14:textFill>
            <w14:solidFill>
              <w14:schemeClr w14:val="tx1"/>
            </w14:solidFill>
          </w14:textFill>
        </w:rPr>
        <w:t>8．投标文件的组成</w:t>
      </w:r>
    </w:p>
    <w:p w14:paraId="65CF8714">
      <w:pPr>
        <w:shd w:val="clear" w:color="auto" w:fill="FFFFFF"/>
        <w:snapToGrid w:val="0"/>
        <w:spacing w:line="44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投标文件的内容：</w:t>
      </w:r>
    </w:p>
    <w:p w14:paraId="5466D2F4">
      <w:pPr>
        <w:tabs>
          <w:tab w:val="left" w:pos="540"/>
        </w:tabs>
        <w:spacing w:line="440" w:lineRule="exact"/>
        <w:ind w:firstLine="493"/>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（1）投标函</w:t>
      </w:r>
    </w:p>
    <w:p w14:paraId="34A382BC">
      <w:pPr>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（2）投标报价一览表</w:t>
      </w:r>
    </w:p>
    <w:p w14:paraId="3095D243">
      <w:pPr>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（3）分项报价表</w:t>
      </w:r>
    </w:p>
    <w:p w14:paraId="2184D4DC">
      <w:pPr>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（4）偏离表</w:t>
      </w:r>
    </w:p>
    <w:p w14:paraId="172F7EAC">
      <w:pPr>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（5）法定代表人身份证明及授权委托书</w:t>
      </w:r>
    </w:p>
    <w:p w14:paraId="174DF501">
      <w:pPr>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（6）服务承诺书</w:t>
      </w:r>
    </w:p>
    <w:p w14:paraId="11029D98">
      <w:pPr>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（7）投标承诺书</w:t>
      </w:r>
    </w:p>
    <w:p w14:paraId="2C45694F">
      <w:pPr>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（8）资格审查资料</w:t>
      </w:r>
    </w:p>
    <w:p w14:paraId="3EE1E8DA">
      <w:pPr>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（9）</w:t>
      </w:r>
      <w:r>
        <w:rPr>
          <w:rFonts w:hint="eastAsia" w:ascii="宋体" w:hAnsi="宋体"/>
          <w:color w:val="000000" w:themeColor="text1"/>
          <w:kern w:val="0"/>
          <w:sz w:val="24"/>
          <w:szCs w:val="24"/>
          <w:highlight w:val="none"/>
          <w:lang w:eastAsia="zh-CN"/>
          <w14:textFill>
            <w14:solidFill>
              <w14:schemeClr w14:val="tx1"/>
            </w14:solidFill>
          </w14:textFill>
        </w:rPr>
        <w:t>供应商</w:t>
      </w:r>
      <w:r>
        <w:rPr>
          <w:rFonts w:hint="eastAsia" w:ascii="宋体" w:hAnsi="宋体"/>
          <w:color w:val="000000" w:themeColor="text1"/>
          <w:kern w:val="0"/>
          <w:sz w:val="24"/>
          <w:szCs w:val="24"/>
          <w:highlight w:val="none"/>
          <w14:textFill>
            <w14:solidFill>
              <w14:schemeClr w14:val="tx1"/>
            </w14:solidFill>
          </w14:textFill>
        </w:rPr>
        <w:t>认为有必要的其它资料</w:t>
      </w:r>
    </w:p>
    <w:p w14:paraId="18645F6D">
      <w:pPr>
        <w:snapToGrid w:val="0"/>
        <w:spacing w:before="156" w:after="156" w:line="440" w:lineRule="exact"/>
        <w:jc w:val="left"/>
        <w:rPr>
          <w:rFonts w:hint="eastAsia" w:ascii="宋体" w:hAnsi="宋体"/>
          <w:b/>
          <w:bCs/>
          <w:color w:val="000000" w:themeColor="text1"/>
          <w:kern w:val="0"/>
          <w:sz w:val="24"/>
          <w:szCs w:val="24"/>
          <w:highlight w:val="none"/>
          <w14:textFill>
            <w14:solidFill>
              <w14:schemeClr w14:val="tx1"/>
            </w14:solidFill>
          </w14:textFill>
        </w:rPr>
      </w:pPr>
      <w:bookmarkStart w:id="27" w:name="_Toc144974516"/>
      <w:bookmarkEnd w:id="27"/>
      <w:bookmarkStart w:id="28" w:name="_Toc152045548"/>
      <w:bookmarkEnd w:id="28"/>
      <w:bookmarkStart w:id="29" w:name="_Toc152042324"/>
      <w:bookmarkEnd w:id="29"/>
      <w:bookmarkStart w:id="30" w:name="_Toc179632566"/>
      <w:bookmarkEnd w:id="30"/>
      <w:bookmarkStart w:id="31" w:name="_Toc292893113"/>
      <w:bookmarkEnd w:id="31"/>
      <w:r>
        <w:rPr>
          <w:rFonts w:hint="eastAsia" w:ascii="宋体" w:hAnsi="宋体"/>
          <w:b/>
          <w:bCs/>
          <w:color w:val="000000" w:themeColor="text1"/>
          <w:kern w:val="0"/>
          <w:sz w:val="24"/>
          <w:szCs w:val="24"/>
          <w:highlight w:val="none"/>
          <w14:textFill>
            <w14:solidFill>
              <w14:schemeClr w14:val="tx1"/>
            </w14:solidFill>
          </w14:textFill>
        </w:rPr>
        <w:t>9．投标报价</w:t>
      </w:r>
    </w:p>
    <w:p w14:paraId="060CB453">
      <w:pPr>
        <w:tabs>
          <w:tab w:val="left" w:pos="540"/>
        </w:tabs>
        <w:spacing w:line="480" w:lineRule="exact"/>
        <w:ind w:firstLine="495"/>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9.1</w:t>
      </w:r>
      <w:r>
        <w:rPr>
          <w:rFonts w:hint="eastAsia" w:ascii="宋体" w:hAnsi="宋体"/>
          <w:color w:val="000000" w:themeColor="text1"/>
          <w:kern w:val="0"/>
          <w:sz w:val="24"/>
          <w:highlight w:val="none"/>
          <w:lang w:eastAsia="zh-CN"/>
          <w14:textFill>
            <w14:solidFill>
              <w14:schemeClr w14:val="tx1"/>
            </w14:solidFill>
          </w14:textFill>
        </w:rPr>
        <w:t>供应商</w:t>
      </w:r>
      <w:r>
        <w:rPr>
          <w:rFonts w:hint="eastAsia" w:ascii="宋体" w:hAnsi="宋体"/>
          <w:color w:val="000000" w:themeColor="text1"/>
          <w:kern w:val="0"/>
          <w:sz w:val="24"/>
          <w:highlight w:val="none"/>
          <w14:textFill>
            <w14:solidFill>
              <w14:schemeClr w14:val="tx1"/>
            </w14:solidFill>
          </w14:textFill>
        </w:rPr>
        <w:t>必须对本项目招标范围及内容进行完整报价。</w:t>
      </w:r>
    </w:p>
    <w:p w14:paraId="75C03DEA">
      <w:pPr>
        <w:tabs>
          <w:tab w:val="left" w:pos="540"/>
        </w:tabs>
        <w:spacing w:line="480" w:lineRule="exact"/>
        <w:ind w:firstLine="495"/>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9.2</w:t>
      </w:r>
      <w:r>
        <w:rPr>
          <w:rFonts w:hint="eastAsia" w:ascii="宋体" w:hAnsi="宋体"/>
          <w:color w:val="000000" w:themeColor="text1"/>
          <w:kern w:val="0"/>
          <w:sz w:val="24"/>
          <w:highlight w:val="none"/>
          <w:lang w:eastAsia="zh-CN"/>
          <w14:textFill>
            <w14:solidFill>
              <w14:schemeClr w14:val="tx1"/>
            </w14:solidFill>
          </w14:textFill>
        </w:rPr>
        <w:t>供应商</w:t>
      </w:r>
      <w:r>
        <w:rPr>
          <w:rFonts w:hint="eastAsia" w:ascii="宋体" w:hAnsi="宋体"/>
          <w:color w:val="000000" w:themeColor="text1"/>
          <w:kern w:val="0"/>
          <w:sz w:val="24"/>
          <w:highlight w:val="none"/>
          <w14:textFill>
            <w14:solidFill>
              <w14:schemeClr w14:val="tx1"/>
            </w14:solidFill>
          </w14:textFill>
        </w:rPr>
        <w:t>所报的投标报价在合同执行过程中是固定不变的，不得以任何理由予以变更。任何包含价格调整的要求的投标，将被认为是非响应性投标而被拒绝。</w:t>
      </w:r>
    </w:p>
    <w:p w14:paraId="7D1DBECB">
      <w:pPr>
        <w:tabs>
          <w:tab w:val="left" w:pos="540"/>
        </w:tabs>
        <w:spacing w:line="480" w:lineRule="exact"/>
        <w:ind w:firstLine="495"/>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9.3</w:t>
      </w:r>
      <w:r>
        <w:rPr>
          <w:rFonts w:hint="eastAsia" w:ascii="宋体" w:hAnsi="宋体"/>
          <w:color w:val="000000" w:themeColor="text1"/>
          <w:kern w:val="0"/>
          <w:sz w:val="24"/>
          <w:highlight w:val="none"/>
          <w:lang w:eastAsia="zh-CN"/>
          <w14:textFill>
            <w14:solidFill>
              <w14:schemeClr w14:val="tx1"/>
            </w14:solidFill>
          </w14:textFill>
        </w:rPr>
        <w:t>供应商</w:t>
      </w:r>
      <w:r>
        <w:rPr>
          <w:rFonts w:hint="eastAsia" w:ascii="宋体" w:hAnsi="宋体"/>
          <w:color w:val="000000" w:themeColor="text1"/>
          <w:kern w:val="0"/>
          <w:sz w:val="24"/>
          <w:highlight w:val="none"/>
          <w14:textFill>
            <w14:solidFill>
              <w14:schemeClr w14:val="tx1"/>
            </w14:solidFill>
          </w14:textFill>
        </w:rPr>
        <w:t>不得以低于成本的报价竞标，最低报价不作为中标的保证。</w:t>
      </w:r>
    </w:p>
    <w:p w14:paraId="41FA620D">
      <w:pPr>
        <w:widowControl w:val="0"/>
        <w:snapToGrid w:val="0"/>
        <w:spacing w:before="156" w:after="156" w:line="440" w:lineRule="exact"/>
        <w:jc w:val="left"/>
        <w:rPr>
          <w:rFonts w:hint="eastAsia" w:ascii="宋体" w:hAnsi="宋体"/>
          <w:b/>
          <w:bCs/>
          <w:color w:val="000000" w:themeColor="text1"/>
          <w:kern w:val="0"/>
          <w:sz w:val="24"/>
          <w:szCs w:val="24"/>
          <w:highlight w:val="none"/>
          <w14:textFill>
            <w14:solidFill>
              <w14:schemeClr w14:val="tx1"/>
            </w14:solidFill>
          </w14:textFill>
        </w:rPr>
      </w:pPr>
      <w:r>
        <w:rPr>
          <w:rFonts w:hint="eastAsia" w:ascii="宋体" w:hAnsi="宋体"/>
          <w:b/>
          <w:bCs/>
          <w:color w:val="000000" w:themeColor="text1"/>
          <w:kern w:val="0"/>
          <w:sz w:val="24"/>
          <w:szCs w:val="24"/>
          <w:highlight w:val="none"/>
          <w14:textFill>
            <w14:solidFill>
              <w14:schemeClr w14:val="tx1"/>
            </w14:solidFill>
          </w14:textFill>
        </w:rPr>
        <w:t>10.投标有效期</w:t>
      </w:r>
    </w:p>
    <w:p w14:paraId="593AD37A">
      <w:pPr>
        <w:widowControl w:val="0"/>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10.1在</w:t>
      </w:r>
      <w:r>
        <w:rPr>
          <w:rFonts w:hint="eastAsia" w:ascii="宋体" w:hAnsi="宋体"/>
          <w:color w:val="000000" w:themeColor="text1"/>
          <w:kern w:val="0"/>
          <w:sz w:val="24"/>
          <w:szCs w:val="24"/>
          <w:highlight w:val="none"/>
          <w:lang w:eastAsia="zh-CN"/>
          <w14:textFill>
            <w14:solidFill>
              <w14:schemeClr w14:val="tx1"/>
            </w14:solidFill>
          </w14:textFill>
        </w:rPr>
        <w:t>供应商</w:t>
      </w:r>
      <w:r>
        <w:rPr>
          <w:rFonts w:hint="eastAsia" w:ascii="宋体" w:hAnsi="宋体"/>
          <w:color w:val="000000" w:themeColor="text1"/>
          <w:kern w:val="0"/>
          <w:sz w:val="24"/>
          <w:szCs w:val="24"/>
          <w:highlight w:val="none"/>
          <w14:textFill>
            <w14:solidFill>
              <w14:schemeClr w14:val="tx1"/>
            </w14:solidFill>
          </w14:textFill>
        </w:rPr>
        <w:t>须知前附表规定的投标有效期内，</w:t>
      </w:r>
      <w:r>
        <w:rPr>
          <w:rFonts w:hint="eastAsia" w:ascii="宋体" w:hAnsi="宋体"/>
          <w:color w:val="000000" w:themeColor="text1"/>
          <w:kern w:val="0"/>
          <w:sz w:val="24"/>
          <w:szCs w:val="24"/>
          <w:highlight w:val="none"/>
          <w:lang w:eastAsia="zh-CN"/>
          <w14:textFill>
            <w14:solidFill>
              <w14:schemeClr w14:val="tx1"/>
            </w14:solidFill>
          </w14:textFill>
        </w:rPr>
        <w:t>供应商</w:t>
      </w:r>
      <w:r>
        <w:rPr>
          <w:rFonts w:hint="eastAsia" w:ascii="宋体" w:hAnsi="宋体"/>
          <w:color w:val="000000" w:themeColor="text1"/>
          <w:kern w:val="0"/>
          <w:sz w:val="24"/>
          <w:szCs w:val="24"/>
          <w:highlight w:val="none"/>
          <w14:textFill>
            <w14:solidFill>
              <w14:schemeClr w14:val="tx1"/>
            </w14:solidFill>
          </w14:textFill>
        </w:rPr>
        <w:t>不得要求撤销或修改其投标文件。</w:t>
      </w:r>
    </w:p>
    <w:p w14:paraId="7DFFA53B">
      <w:pPr>
        <w:widowControl w:val="0"/>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10.2出现特殊情况需要延长投标有效期的，采购人以书面形式通知所有</w:t>
      </w:r>
      <w:r>
        <w:rPr>
          <w:rFonts w:hint="eastAsia" w:ascii="宋体" w:hAnsi="宋体"/>
          <w:color w:val="000000" w:themeColor="text1"/>
          <w:kern w:val="0"/>
          <w:sz w:val="24"/>
          <w:szCs w:val="24"/>
          <w:highlight w:val="none"/>
          <w:lang w:eastAsia="zh-CN"/>
          <w14:textFill>
            <w14:solidFill>
              <w14:schemeClr w14:val="tx1"/>
            </w14:solidFill>
          </w14:textFill>
        </w:rPr>
        <w:t>供应商</w:t>
      </w:r>
      <w:r>
        <w:rPr>
          <w:rFonts w:hint="eastAsia" w:ascii="宋体" w:hAnsi="宋体"/>
          <w:color w:val="000000" w:themeColor="text1"/>
          <w:kern w:val="0"/>
          <w:sz w:val="24"/>
          <w:szCs w:val="24"/>
          <w:highlight w:val="none"/>
          <w14:textFill>
            <w14:solidFill>
              <w14:schemeClr w14:val="tx1"/>
            </w14:solidFill>
          </w14:textFill>
        </w:rPr>
        <w:t>延长投标有效期。</w:t>
      </w:r>
      <w:r>
        <w:rPr>
          <w:rFonts w:hint="eastAsia" w:ascii="宋体" w:hAnsi="宋体"/>
          <w:color w:val="000000" w:themeColor="text1"/>
          <w:kern w:val="0"/>
          <w:sz w:val="24"/>
          <w:szCs w:val="24"/>
          <w:highlight w:val="none"/>
          <w:lang w:eastAsia="zh-CN"/>
          <w14:textFill>
            <w14:solidFill>
              <w14:schemeClr w14:val="tx1"/>
            </w14:solidFill>
          </w14:textFill>
        </w:rPr>
        <w:t>供应商</w:t>
      </w:r>
      <w:r>
        <w:rPr>
          <w:rFonts w:hint="eastAsia" w:ascii="宋体" w:hAnsi="宋体"/>
          <w:color w:val="000000" w:themeColor="text1"/>
          <w:kern w:val="0"/>
          <w:sz w:val="24"/>
          <w:szCs w:val="24"/>
          <w:highlight w:val="none"/>
          <w14:textFill>
            <w14:solidFill>
              <w14:schemeClr w14:val="tx1"/>
            </w14:solidFill>
          </w14:textFill>
        </w:rPr>
        <w:t>同意延长的，不得要求或被允许修改或撤销其投标文件；</w:t>
      </w:r>
      <w:r>
        <w:rPr>
          <w:rFonts w:hint="eastAsia" w:ascii="宋体" w:hAnsi="宋体"/>
          <w:color w:val="000000" w:themeColor="text1"/>
          <w:kern w:val="0"/>
          <w:sz w:val="24"/>
          <w:szCs w:val="24"/>
          <w:highlight w:val="none"/>
          <w:lang w:eastAsia="zh-CN"/>
          <w14:textFill>
            <w14:solidFill>
              <w14:schemeClr w14:val="tx1"/>
            </w14:solidFill>
          </w14:textFill>
        </w:rPr>
        <w:t>供应商</w:t>
      </w:r>
      <w:r>
        <w:rPr>
          <w:rFonts w:hint="eastAsia" w:ascii="宋体" w:hAnsi="宋体"/>
          <w:color w:val="000000" w:themeColor="text1"/>
          <w:kern w:val="0"/>
          <w:sz w:val="24"/>
          <w:szCs w:val="24"/>
          <w:highlight w:val="none"/>
          <w14:textFill>
            <w14:solidFill>
              <w14:schemeClr w14:val="tx1"/>
            </w14:solidFill>
          </w14:textFill>
        </w:rPr>
        <w:t>拒绝延长的，其投标失效。</w:t>
      </w:r>
    </w:p>
    <w:p w14:paraId="20CE6D01">
      <w:pPr>
        <w:widowControl w:val="0"/>
        <w:snapToGrid w:val="0"/>
        <w:spacing w:before="156" w:after="156" w:line="440" w:lineRule="exact"/>
        <w:jc w:val="left"/>
        <w:rPr>
          <w:rFonts w:hint="eastAsia" w:ascii="宋体" w:hAnsi="宋体"/>
          <w:b/>
          <w:bCs/>
          <w:color w:val="000000" w:themeColor="text1"/>
          <w:kern w:val="0"/>
          <w:sz w:val="24"/>
          <w:szCs w:val="24"/>
          <w:highlight w:val="none"/>
          <w14:textFill>
            <w14:solidFill>
              <w14:schemeClr w14:val="tx1"/>
            </w14:solidFill>
          </w14:textFill>
        </w:rPr>
      </w:pPr>
      <w:r>
        <w:rPr>
          <w:rFonts w:hint="eastAsia" w:ascii="宋体" w:hAnsi="宋体"/>
          <w:b/>
          <w:bCs/>
          <w:color w:val="000000" w:themeColor="text1"/>
          <w:kern w:val="0"/>
          <w:sz w:val="24"/>
          <w:szCs w:val="24"/>
          <w:highlight w:val="none"/>
          <w14:textFill>
            <w14:solidFill>
              <w14:schemeClr w14:val="tx1"/>
            </w14:solidFill>
          </w14:textFill>
        </w:rPr>
        <w:t>11.投标保证金</w:t>
      </w:r>
    </w:p>
    <w:p w14:paraId="4112C02F">
      <w:pPr>
        <w:tabs>
          <w:tab w:val="left" w:pos="735"/>
        </w:tabs>
        <w:snapToGrid w:val="0"/>
        <w:spacing w:line="440" w:lineRule="exact"/>
        <w:ind w:firstLine="480" w:firstLineChars="200"/>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本项目不收取。</w:t>
      </w:r>
    </w:p>
    <w:p w14:paraId="2CFCA9A9">
      <w:pPr>
        <w:snapToGrid w:val="0"/>
        <w:spacing w:before="156" w:after="156" w:line="440" w:lineRule="exact"/>
        <w:jc w:val="left"/>
        <w:rPr>
          <w:rFonts w:hint="eastAsia" w:ascii="宋体" w:hAnsi="宋体"/>
          <w:b/>
          <w:bCs/>
          <w:color w:val="000000" w:themeColor="text1"/>
          <w:kern w:val="0"/>
          <w:sz w:val="24"/>
          <w:szCs w:val="24"/>
          <w:highlight w:val="none"/>
          <w14:textFill>
            <w14:solidFill>
              <w14:schemeClr w14:val="tx1"/>
            </w14:solidFill>
          </w14:textFill>
        </w:rPr>
      </w:pPr>
      <w:r>
        <w:rPr>
          <w:rFonts w:hint="eastAsia" w:ascii="宋体" w:hAnsi="宋体"/>
          <w:b/>
          <w:bCs/>
          <w:color w:val="000000" w:themeColor="text1"/>
          <w:kern w:val="0"/>
          <w:sz w:val="24"/>
          <w:szCs w:val="24"/>
          <w:highlight w:val="none"/>
          <w14:textFill>
            <w14:solidFill>
              <w14:schemeClr w14:val="tx1"/>
            </w14:solidFill>
          </w14:textFill>
        </w:rPr>
        <w:t>12.资格审查资料</w:t>
      </w:r>
    </w:p>
    <w:p w14:paraId="50DB32F2">
      <w:pPr>
        <w:shd w:val="clear" w:color="auto" w:fill="FFFFFF"/>
        <w:snapToGrid w:val="0"/>
        <w:spacing w:line="440" w:lineRule="exact"/>
        <w:ind w:firstLine="480" w:firstLineChars="200"/>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lang w:eastAsia="zh-CN"/>
          <w14:textFill>
            <w14:solidFill>
              <w14:schemeClr w14:val="tx1"/>
            </w14:solidFill>
          </w14:textFill>
        </w:rPr>
        <w:t>供应商</w:t>
      </w:r>
      <w:r>
        <w:rPr>
          <w:rFonts w:hint="eastAsia" w:ascii="宋体" w:hAnsi="宋体"/>
          <w:color w:val="000000" w:themeColor="text1"/>
          <w:kern w:val="0"/>
          <w:sz w:val="24"/>
          <w:highlight w:val="none"/>
          <w14:textFill>
            <w14:solidFill>
              <w14:schemeClr w14:val="tx1"/>
            </w14:solidFill>
          </w14:textFill>
        </w:rPr>
        <w:t>在</w:t>
      </w:r>
      <w:r>
        <w:rPr>
          <w:rFonts w:hint="eastAsia" w:ascii="宋体" w:hAnsi="宋体"/>
          <w:color w:val="000000" w:themeColor="text1"/>
          <w:kern w:val="0"/>
          <w:sz w:val="24"/>
          <w:highlight w:val="none"/>
          <w:lang w:eastAsia="zh-CN"/>
          <w14:textFill>
            <w14:solidFill>
              <w14:schemeClr w14:val="tx1"/>
            </w14:solidFill>
          </w14:textFill>
        </w:rPr>
        <w:t>供应商</w:t>
      </w:r>
      <w:r>
        <w:rPr>
          <w:rFonts w:hint="eastAsia" w:ascii="宋体" w:hAnsi="宋体"/>
          <w:color w:val="000000" w:themeColor="text1"/>
          <w:kern w:val="0"/>
          <w:sz w:val="24"/>
          <w:highlight w:val="none"/>
          <w14:textFill>
            <w14:solidFill>
              <w14:schemeClr w14:val="tx1"/>
            </w14:solidFill>
          </w14:textFill>
        </w:rPr>
        <w:t>须知前附表规定的投标截止时间前由采购人或采购代理机构对下列资料进行资格审查</w:t>
      </w:r>
      <w:r>
        <w:rPr>
          <w:rFonts w:hint="eastAsia" w:ascii="宋体" w:hAnsi="宋体"/>
          <w:color w:val="000000" w:themeColor="text1"/>
          <w:kern w:val="0"/>
          <w:sz w:val="24"/>
          <w:szCs w:val="24"/>
          <w:highlight w:val="none"/>
          <w14:textFill>
            <w14:solidFill>
              <w14:schemeClr w14:val="tx1"/>
            </w14:solidFill>
          </w14:textFill>
        </w:rPr>
        <w:t>：</w:t>
      </w:r>
    </w:p>
    <w:p w14:paraId="1C7F1266">
      <w:pPr>
        <w:tabs>
          <w:tab w:val="left" w:pos="540"/>
        </w:tabs>
        <w:spacing w:line="440" w:lineRule="exact"/>
        <w:ind w:firstLine="480" w:firstLineChars="200"/>
        <w:jc w:val="left"/>
        <w:rPr>
          <w:rFonts w:hint="eastAsia" w:ascii="宋体" w:hAnsi="宋体"/>
          <w:color w:val="000000" w:themeColor="text1"/>
          <w:kern w:val="0"/>
          <w:sz w:val="24"/>
          <w:szCs w:val="24"/>
          <w:highlight w:val="none"/>
          <w14:textFill>
            <w14:solidFill>
              <w14:schemeClr w14:val="tx1"/>
            </w14:solidFill>
          </w14:textFill>
        </w:rPr>
      </w:pPr>
      <w:bookmarkStart w:id="32" w:name="_Toc152045554"/>
      <w:bookmarkStart w:id="33" w:name="_Toc144974522"/>
      <w:bookmarkStart w:id="34" w:name="_Toc292893118"/>
      <w:bookmarkStart w:id="35" w:name="_Toc179632572"/>
      <w:bookmarkStart w:id="36" w:name="_Toc152042330"/>
      <w:r>
        <w:rPr>
          <w:rFonts w:hint="eastAsia" w:ascii="宋体" w:hAnsi="宋体"/>
          <w:color w:val="000000" w:themeColor="text1"/>
          <w:kern w:val="0"/>
          <w:sz w:val="24"/>
          <w:szCs w:val="24"/>
          <w:highlight w:val="none"/>
          <w14:textFill>
            <w14:solidFill>
              <w14:schemeClr w14:val="tx1"/>
            </w14:solidFill>
          </w14:textFill>
        </w:rPr>
        <w:t>1.营业执照、税务登记证、组织机构代码证（或三证合一营业执照）</w:t>
      </w:r>
    </w:p>
    <w:p w14:paraId="44607785">
      <w:pPr>
        <w:tabs>
          <w:tab w:val="left" w:pos="540"/>
        </w:tabs>
        <w:spacing w:line="440" w:lineRule="exact"/>
        <w:ind w:firstLine="480" w:firstLineChars="200"/>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2.供应商相关承诺书</w:t>
      </w:r>
    </w:p>
    <w:p w14:paraId="68287FA6">
      <w:pPr>
        <w:tabs>
          <w:tab w:val="left" w:pos="540"/>
        </w:tabs>
        <w:spacing w:line="440" w:lineRule="exact"/>
        <w:ind w:firstLine="480" w:firstLineChars="200"/>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3.</w:t>
      </w:r>
      <w:r>
        <w:rPr>
          <w:rFonts w:hint="eastAsia" w:ascii="宋体" w:hAnsi="宋体" w:eastAsia="宋体" w:cs="宋体"/>
          <w:sz w:val="24"/>
          <w:highlight w:val="none"/>
          <w:shd w:val="clear" w:color="auto" w:fill="FFFFFF"/>
        </w:rPr>
        <w:t>“</w:t>
      </w:r>
      <w:r>
        <w:rPr>
          <w:rFonts w:hint="eastAsia" w:ascii="宋体" w:hAnsi="宋体"/>
          <w:color w:val="000000" w:themeColor="text1"/>
          <w:kern w:val="0"/>
          <w:sz w:val="24"/>
          <w:szCs w:val="24"/>
          <w:highlight w:val="none"/>
          <w14:textFill>
            <w14:solidFill>
              <w14:schemeClr w14:val="tx1"/>
            </w14:solidFill>
          </w14:textFill>
        </w:rPr>
        <w:t>信用中国</w:t>
      </w:r>
      <w:r>
        <w:rPr>
          <w:rFonts w:hint="eastAsia" w:ascii="宋体" w:hAnsi="宋体" w:eastAsia="宋体" w:cs="宋体"/>
          <w:sz w:val="24"/>
          <w:highlight w:val="none"/>
          <w:shd w:val="clear" w:color="auto" w:fill="FFFFFF"/>
        </w:rPr>
        <w:t>”</w:t>
      </w:r>
      <w:r>
        <w:rPr>
          <w:rFonts w:hint="eastAsia" w:ascii="宋体" w:hAnsi="宋体"/>
          <w:color w:val="000000" w:themeColor="text1"/>
          <w:kern w:val="0"/>
          <w:sz w:val="24"/>
          <w:szCs w:val="24"/>
          <w:highlight w:val="none"/>
          <w14:textFill>
            <w14:solidFill>
              <w14:schemeClr w14:val="tx1"/>
            </w14:solidFill>
          </w14:textFill>
        </w:rPr>
        <w:t>、</w:t>
      </w:r>
      <w:r>
        <w:rPr>
          <w:rFonts w:hint="eastAsia" w:ascii="宋体" w:hAnsi="宋体" w:eastAsia="宋体" w:cs="宋体"/>
          <w:sz w:val="24"/>
          <w:highlight w:val="none"/>
          <w:shd w:val="clear" w:color="auto" w:fill="FFFFFF"/>
        </w:rPr>
        <w:t>“</w:t>
      </w:r>
      <w:r>
        <w:rPr>
          <w:rFonts w:hint="eastAsia" w:ascii="宋体" w:hAnsi="宋体"/>
          <w:color w:val="000000" w:themeColor="text1"/>
          <w:kern w:val="0"/>
          <w:sz w:val="24"/>
          <w:szCs w:val="24"/>
          <w:highlight w:val="none"/>
          <w14:textFill>
            <w14:solidFill>
              <w14:schemeClr w14:val="tx1"/>
            </w14:solidFill>
          </w14:textFill>
        </w:rPr>
        <w:t>中国执行信息公开网</w:t>
      </w:r>
      <w:r>
        <w:rPr>
          <w:rFonts w:hint="eastAsia" w:ascii="宋体" w:hAnsi="宋体" w:eastAsia="宋体" w:cs="宋体"/>
          <w:sz w:val="24"/>
          <w:highlight w:val="none"/>
          <w:shd w:val="clear" w:color="auto" w:fill="FFFFFF"/>
        </w:rPr>
        <w:t>”</w:t>
      </w:r>
      <w:r>
        <w:rPr>
          <w:rFonts w:hint="eastAsia" w:ascii="宋体" w:hAnsi="宋体"/>
          <w:color w:val="000000" w:themeColor="text1"/>
          <w:kern w:val="0"/>
          <w:sz w:val="24"/>
          <w:szCs w:val="24"/>
          <w:highlight w:val="none"/>
          <w14:textFill>
            <w14:solidFill>
              <w14:schemeClr w14:val="tx1"/>
            </w14:solidFill>
          </w14:textFill>
        </w:rPr>
        <w:t>、</w:t>
      </w:r>
      <w:r>
        <w:rPr>
          <w:rFonts w:hint="eastAsia" w:ascii="宋体" w:hAnsi="宋体" w:eastAsia="宋体" w:cs="宋体"/>
          <w:sz w:val="24"/>
          <w:highlight w:val="none"/>
          <w:shd w:val="clear" w:color="auto" w:fill="FFFFFF"/>
        </w:rPr>
        <w:t>“</w:t>
      </w:r>
      <w:r>
        <w:rPr>
          <w:rFonts w:hint="eastAsia" w:ascii="宋体" w:hAnsi="宋体"/>
          <w:color w:val="000000" w:themeColor="text1"/>
          <w:kern w:val="0"/>
          <w:sz w:val="24"/>
          <w:szCs w:val="24"/>
          <w:highlight w:val="none"/>
          <w14:textFill>
            <w14:solidFill>
              <w14:schemeClr w14:val="tx1"/>
            </w14:solidFill>
          </w14:textFill>
        </w:rPr>
        <w:t>中国政府采购网</w:t>
      </w:r>
      <w:r>
        <w:rPr>
          <w:rFonts w:hint="eastAsia" w:ascii="宋体" w:hAnsi="宋体" w:eastAsia="宋体" w:cs="宋体"/>
          <w:sz w:val="24"/>
          <w:highlight w:val="none"/>
          <w:shd w:val="clear" w:color="auto" w:fill="FFFFFF"/>
        </w:rPr>
        <w:t>”</w:t>
      </w:r>
      <w:r>
        <w:rPr>
          <w:rFonts w:hint="eastAsia" w:ascii="宋体" w:hAnsi="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z w:val="24"/>
          <w:highlight w:val="none"/>
          <w:shd w:val="clear" w:color="auto" w:fill="FFFFFF"/>
        </w:rPr>
        <w:t>“国家企业信用信息公示系统”</w:t>
      </w:r>
      <w:r>
        <w:rPr>
          <w:rFonts w:hint="eastAsia" w:ascii="宋体" w:hAnsi="宋体"/>
          <w:color w:val="000000" w:themeColor="text1"/>
          <w:kern w:val="0"/>
          <w:sz w:val="24"/>
          <w:szCs w:val="24"/>
          <w:highlight w:val="none"/>
          <w14:textFill>
            <w14:solidFill>
              <w14:schemeClr w14:val="tx1"/>
            </w14:solidFill>
          </w14:textFill>
        </w:rPr>
        <w:t>查询截图</w:t>
      </w:r>
    </w:p>
    <w:bookmarkEnd w:id="32"/>
    <w:bookmarkEnd w:id="33"/>
    <w:bookmarkEnd w:id="34"/>
    <w:bookmarkEnd w:id="35"/>
    <w:bookmarkEnd w:id="36"/>
    <w:p w14:paraId="5C94AD11">
      <w:pPr>
        <w:snapToGrid w:val="0"/>
        <w:spacing w:before="156" w:after="156" w:line="440" w:lineRule="exact"/>
        <w:jc w:val="left"/>
        <w:rPr>
          <w:rFonts w:hint="eastAsia" w:ascii="宋体" w:hAnsi="宋体"/>
          <w:b/>
          <w:bCs/>
          <w:color w:val="000000" w:themeColor="text1"/>
          <w:kern w:val="0"/>
          <w:sz w:val="24"/>
          <w:szCs w:val="24"/>
          <w:highlight w:val="none"/>
          <w14:textFill>
            <w14:solidFill>
              <w14:schemeClr w14:val="tx1"/>
            </w14:solidFill>
          </w14:textFill>
        </w:rPr>
      </w:pPr>
      <w:r>
        <w:rPr>
          <w:rFonts w:hint="eastAsia" w:ascii="宋体" w:hAnsi="宋体"/>
          <w:b/>
          <w:bCs/>
          <w:color w:val="000000" w:themeColor="text1"/>
          <w:kern w:val="0"/>
          <w:sz w:val="24"/>
          <w:szCs w:val="24"/>
          <w:highlight w:val="none"/>
          <w14:textFill>
            <w14:solidFill>
              <w14:schemeClr w14:val="tx1"/>
            </w14:solidFill>
          </w14:textFill>
        </w:rPr>
        <w:t>13.投标文件的编制</w:t>
      </w:r>
    </w:p>
    <w:p w14:paraId="03A89F3B">
      <w:pPr>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投标文件应按第六章“投标文件格式”进行编写，如有必要，可以增加附页，作为投标文件的组成部分。投标函在满足招标文件实质性要求的基础上，可以提出比招标文件要求更有利于采购人的承诺。</w:t>
      </w:r>
    </w:p>
    <w:p w14:paraId="2A4330AC">
      <w:pPr>
        <w:snapToGrid w:val="0"/>
        <w:spacing w:before="156" w:after="156" w:line="440" w:lineRule="exact"/>
        <w:jc w:val="left"/>
        <w:rPr>
          <w:rFonts w:hint="eastAsia" w:ascii="宋体" w:hAnsi="宋体"/>
          <w:b/>
          <w:bCs/>
          <w:color w:val="000000" w:themeColor="text1"/>
          <w:kern w:val="0"/>
          <w:sz w:val="24"/>
          <w:szCs w:val="24"/>
          <w:highlight w:val="none"/>
          <w14:textFill>
            <w14:solidFill>
              <w14:schemeClr w14:val="tx1"/>
            </w14:solidFill>
          </w14:textFill>
        </w:rPr>
      </w:pPr>
      <w:r>
        <w:rPr>
          <w:rFonts w:hint="eastAsia" w:ascii="宋体" w:hAnsi="宋体"/>
          <w:b/>
          <w:bCs/>
          <w:color w:val="000000" w:themeColor="text1"/>
          <w:kern w:val="0"/>
          <w:sz w:val="24"/>
          <w:szCs w:val="24"/>
          <w:highlight w:val="none"/>
          <w14:textFill>
            <w14:solidFill>
              <w14:schemeClr w14:val="tx1"/>
            </w14:solidFill>
          </w14:textFill>
        </w:rPr>
        <w:t>14．投标文件格式</w:t>
      </w:r>
      <w:r>
        <w:rPr>
          <w:rFonts w:hint="eastAsia" w:ascii="宋体" w:hAnsi="宋体"/>
          <w:b/>
          <w:bCs/>
          <w:color w:val="000000" w:themeColor="text1"/>
          <w:sz w:val="24"/>
          <w:szCs w:val="24"/>
          <w:highlight w:val="none"/>
          <w14:textFill>
            <w14:solidFill>
              <w14:schemeClr w14:val="tx1"/>
            </w14:solidFill>
          </w14:textFill>
        </w:rPr>
        <w:tab/>
      </w:r>
    </w:p>
    <w:p w14:paraId="4AA126B0">
      <w:pPr>
        <w:shd w:val="clear" w:color="auto" w:fill="FFFFFF"/>
        <w:tabs>
          <w:tab w:val="left" w:pos="7665"/>
        </w:tabs>
        <w:snapToGrid w:val="0"/>
        <w:spacing w:line="440" w:lineRule="exact"/>
        <w:ind w:left="12" w:leftChars="6"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14.1 </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应严格按照招标文件中提供的</w:t>
      </w:r>
      <w:r>
        <w:rPr>
          <w:rFonts w:hint="eastAsia" w:ascii="宋体" w:hAnsi="宋体"/>
          <w:color w:val="000000" w:themeColor="text1"/>
          <w:kern w:val="0"/>
          <w:sz w:val="24"/>
          <w:szCs w:val="24"/>
          <w:highlight w:val="none"/>
          <w14:textFill>
            <w14:solidFill>
              <w14:schemeClr w14:val="tx1"/>
            </w14:solidFill>
          </w14:textFill>
        </w:rPr>
        <w:t>第六章</w:t>
      </w:r>
      <w:r>
        <w:rPr>
          <w:rFonts w:hint="eastAsia" w:ascii="宋体" w:hAnsi="宋体"/>
          <w:color w:val="000000" w:themeColor="text1"/>
          <w:sz w:val="24"/>
          <w:szCs w:val="24"/>
          <w:highlight w:val="none"/>
          <w14:textFill>
            <w14:solidFill>
              <w14:schemeClr w14:val="tx1"/>
            </w14:solidFill>
          </w14:textFill>
        </w:rPr>
        <w:t>“投标文件格式”填写相关内容。否则，将影响投标文件得分。第六</w:t>
      </w:r>
      <w:r>
        <w:rPr>
          <w:rFonts w:hint="eastAsia" w:ascii="宋体" w:hAnsi="宋体"/>
          <w:color w:val="000000" w:themeColor="text1"/>
          <w:kern w:val="0"/>
          <w:sz w:val="24"/>
          <w:szCs w:val="24"/>
          <w:highlight w:val="none"/>
          <w14:textFill>
            <w14:solidFill>
              <w14:schemeClr w14:val="tx1"/>
            </w14:solidFill>
          </w14:textFill>
        </w:rPr>
        <w:t>章</w:t>
      </w:r>
      <w:r>
        <w:rPr>
          <w:rFonts w:hint="eastAsia" w:ascii="宋体" w:hAnsi="宋体"/>
          <w:color w:val="000000" w:themeColor="text1"/>
          <w:sz w:val="24"/>
          <w:szCs w:val="24"/>
          <w:highlight w:val="none"/>
          <w14:textFill>
            <w14:solidFill>
              <w14:schemeClr w14:val="tx1"/>
            </w14:solidFill>
          </w14:textFill>
        </w:rPr>
        <w:t>“投标文件格式”规定之外允许</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可以自行编写。</w:t>
      </w:r>
    </w:p>
    <w:p w14:paraId="16367DAD">
      <w:pPr>
        <w:shd w:val="clear" w:color="auto" w:fill="FFFFFF"/>
        <w:tabs>
          <w:tab w:val="left" w:pos="7665"/>
        </w:tabs>
        <w:snapToGrid w:val="0"/>
        <w:spacing w:line="440" w:lineRule="exact"/>
        <w:ind w:left="12" w:leftChars="6"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14.2 对于没有格式要求的投标文件由</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自行编写。</w:t>
      </w:r>
    </w:p>
    <w:p w14:paraId="71978E0E">
      <w:pPr>
        <w:snapToGrid w:val="0"/>
        <w:spacing w:before="156" w:after="156" w:line="440" w:lineRule="exact"/>
        <w:jc w:val="left"/>
        <w:rPr>
          <w:rFonts w:hint="eastAsia" w:ascii="宋体" w:hAnsi="宋体"/>
          <w:b/>
          <w:bCs/>
          <w:color w:val="000000" w:themeColor="text1"/>
          <w:kern w:val="0"/>
          <w:sz w:val="24"/>
          <w:szCs w:val="24"/>
          <w:highlight w:val="none"/>
          <w14:textFill>
            <w14:solidFill>
              <w14:schemeClr w14:val="tx1"/>
            </w14:solidFill>
          </w14:textFill>
        </w:rPr>
      </w:pPr>
      <w:r>
        <w:rPr>
          <w:rFonts w:hint="eastAsia" w:ascii="宋体" w:hAnsi="宋体"/>
          <w:b/>
          <w:bCs/>
          <w:color w:val="000000" w:themeColor="text1"/>
          <w:kern w:val="0"/>
          <w:sz w:val="24"/>
          <w:szCs w:val="24"/>
          <w:highlight w:val="none"/>
          <w14:textFill>
            <w14:solidFill>
              <w14:schemeClr w14:val="tx1"/>
            </w14:solidFill>
          </w14:textFill>
        </w:rPr>
        <w:t>15．投标有效期</w:t>
      </w:r>
    </w:p>
    <w:p w14:paraId="30D3704E">
      <w:pPr>
        <w:shd w:val="clear" w:color="auto" w:fill="FFFFFF"/>
        <w:tabs>
          <w:tab w:val="left" w:pos="7665"/>
        </w:tabs>
        <w:snapToGrid w:val="0"/>
        <w:spacing w:line="440" w:lineRule="exact"/>
        <w:ind w:left="12" w:leftChars="6"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15.1 投标有效期见</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须知前附表。投标有效期短于此规定期限的投标，将被拒绝。</w:t>
      </w:r>
    </w:p>
    <w:p w14:paraId="13782CAD">
      <w:pPr>
        <w:shd w:val="clear" w:color="auto" w:fill="FFFFFF"/>
        <w:tabs>
          <w:tab w:val="left" w:pos="7665"/>
        </w:tabs>
        <w:snapToGrid w:val="0"/>
        <w:spacing w:line="440" w:lineRule="exact"/>
        <w:ind w:left="12" w:leftChars="6"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15.2 特殊情况下，采购人可于投标有效期满之前要求</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同意延长有效期。拒绝延长投标有效期的</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不得再参与该项目后续采购活动。同意延长投标有效期的</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不能修改其投标文件。</w:t>
      </w:r>
    </w:p>
    <w:p w14:paraId="38CC7FB3">
      <w:pPr>
        <w:snapToGrid w:val="0"/>
        <w:spacing w:before="156" w:after="156" w:line="440" w:lineRule="exact"/>
        <w:jc w:val="left"/>
        <w:rPr>
          <w:rFonts w:hint="eastAsia" w:ascii="宋体" w:hAnsi="宋体"/>
          <w:b/>
          <w:bCs/>
          <w:color w:val="000000" w:themeColor="text1"/>
          <w:kern w:val="0"/>
          <w:sz w:val="24"/>
          <w:szCs w:val="24"/>
          <w:highlight w:val="none"/>
          <w14:textFill>
            <w14:solidFill>
              <w14:schemeClr w14:val="tx1"/>
            </w14:solidFill>
          </w14:textFill>
        </w:rPr>
      </w:pPr>
      <w:r>
        <w:rPr>
          <w:rFonts w:hint="eastAsia" w:ascii="宋体" w:hAnsi="宋体"/>
          <w:b/>
          <w:bCs/>
          <w:color w:val="000000" w:themeColor="text1"/>
          <w:kern w:val="0"/>
          <w:sz w:val="24"/>
          <w:szCs w:val="24"/>
          <w:highlight w:val="none"/>
          <w14:textFill>
            <w14:solidFill>
              <w14:schemeClr w14:val="tx1"/>
            </w14:solidFill>
          </w14:textFill>
        </w:rPr>
        <w:t>16．投标文件的印制和签署</w:t>
      </w:r>
    </w:p>
    <w:p w14:paraId="478046C5">
      <w:pPr>
        <w:tabs>
          <w:tab w:val="left" w:pos="540"/>
        </w:tabs>
        <w:spacing w:line="480" w:lineRule="exact"/>
        <w:ind w:firstLine="493"/>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16.1电子化投标文件的签章</w:t>
      </w:r>
    </w:p>
    <w:p w14:paraId="5FE8618B">
      <w:pPr>
        <w:tabs>
          <w:tab w:val="left" w:pos="540"/>
        </w:tabs>
        <w:spacing w:line="480" w:lineRule="exact"/>
        <w:ind w:firstLine="493"/>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16.1.1供应商在生成电子化投标文件后，应对电子化投标文件进行签章，未进行签章的视为无效投标。</w:t>
      </w:r>
    </w:p>
    <w:p w14:paraId="7C92D277">
      <w:pPr>
        <w:tabs>
          <w:tab w:val="left" w:pos="540"/>
        </w:tabs>
        <w:spacing w:line="480" w:lineRule="exact"/>
        <w:ind w:firstLine="493"/>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16.1.2招标文件中要求法定代表人或授权委托人签字或盖章的，供应商在进行电子化投标文件签章时，以签盖法定代表人签章为准。电子化投标文件具体制作教材请供应商通过CA证书登录平顶山市公共资源电子化交易系统在右上角“组建下载”中查看。</w:t>
      </w:r>
    </w:p>
    <w:p w14:paraId="4B3CF992">
      <w:pPr>
        <w:spacing w:before="156" w:after="156" w:line="440" w:lineRule="exact"/>
        <w:jc w:val="center"/>
        <w:rPr>
          <w:rFonts w:hint="eastAsia"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（四）投标</w:t>
      </w:r>
    </w:p>
    <w:p w14:paraId="080232F7">
      <w:pPr>
        <w:tabs>
          <w:tab w:val="left" w:pos="540"/>
        </w:tabs>
        <w:spacing w:line="480" w:lineRule="exact"/>
        <w:jc w:val="left"/>
        <w:rPr>
          <w:rFonts w:hint="eastAsia" w:ascii="宋体" w:hAnsi="宋体"/>
          <w:b/>
          <w:color w:val="000000" w:themeColor="text1"/>
          <w:kern w:val="0"/>
          <w:sz w:val="24"/>
          <w:highlight w:val="none"/>
          <w14:textFill>
            <w14:solidFill>
              <w14:schemeClr w14:val="tx1"/>
            </w14:solidFill>
          </w14:textFill>
        </w:rPr>
      </w:pPr>
      <w:bookmarkStart w:id="37" w:name="_Toc8041"/>
      <w:bookmarkStart w:id="38" w:name="_Toc6464"/>
      <w:bookmarkStart w:id="39" w:name="_Toc13209"/>
      <w:bookmarkStart w:id="40" w:name="_Toc11631"/>
      <w:bookmarkStart w:id="41" w:name="_Toc1251"/>
      <w:r>
        <w:rPr>
          <w:rFonts w:hint="eastAsia" w:ascii="宋体" w:hAnsi="宋体"/>
          <w:b/>
          <w:color w:val="000000" w:themeColor="text1"/>
          <w:kern w:val="0"/>
          <w:sz w:val="24"/>
          <w:highlight w:val="none"/>
          <w14:textFill>
            <w14:solidFill>
              <w14:schemeClr w14:val="tx1"/>
            </w14:solidFill>
          </w14:textFill>
        </w:rPr>
        <w:t>17. 电子化投标文件的格式及上传投标</w:t>
      </w:r>
    </w:p>
    <w:p w14:paraId="30B4A965">
      <w:pPr>
        <w:tabs>
          <w:tab w:val="left" w:pos="540"/>
        </w:tabs>
        <w:spacing w:line="480" w:lineRule="exact"/>
        <w:ind w:firstLine="493"/>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17.1供应商所上传的电子化投标文件，应是通过中心投标文件制作系统制作的，经过签章和加密后生成的电子版投标文件。生成的电子版投标文件包含用于投标文件上传的主文件（项目文件格式为：xxx公司_ 项目名称.file）和用于应急补救的投标文件备份文件（项目文件格式为：xxx公司_ 项目名称.bin），备份文件主要用于电子化开标出现技术问题后的补救，请供应商随身携带。</w:t>
      </w:r>
    </w:p>
    <w:bookmarkEnd w:id="37"/>
    <w:bookmarkEnd w:id="38"/>
    <w:bookmarkEnd w:id="39"/>
    <w:bookmarkEnd w:id="40"/>
    <w:bookmarkEnd w:id="41"/>
    <w:p w14:paraId="15314E58">
      <w:pPr>
        <w:tabs>
          <w:tab w:val="left" w:pos="540"/>
        </w:tabs>
        <w:spacing w:line="480" w:lineRule="exact"/>
        <w:ind w:firstLine="493"/>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注：供应商投报多个标段的，根据标段制作各个标段的投标文件后上传</w:t>
      </w:r>
    </w:p>
    <w:p w14:paraId="6CA57C9C">
      <w:pPr>
        <w:tabs>
          <w:tab w:val="left" w:pos="540"/>
        </w:tabs>
        <w:spacing w:line="480" w:lineRule="exact"/>
        <w:ind w:firstLine="493"/>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17.2电子化投标文件应在投标截止时间前成功上传至平顶山市公共资源电子化交易系统。至投标截止时间止，仍未上传成功的电子化投标文件将不予接收。</w:t>
      </w:r>
    </w:p>
    <w:p w14:paraId="09027180">
      <w:pPr>
        <w:tabs>
          <w:tab w:val="left" w:pos="540"/>
        </w:tabs>
        <w:spacing w:line="480" w:lineRule="exact"/>
        <w:ind w:firstLine="493"/>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w:t>
      </w:r>
    </w:p>
    <w:p w14:paraId="52682D0F">
      <w:pPr>
        <w:snapToGrid w:val="0"/>
        <w:spacing w:before="156" w:after="156" w:line="480" w:lineRule="exact"/>
        <w:jc w:val="left"/>
        <w:rPr>
          <w:rFonts w:hint="eastAsia" w:ascii="宋体" w:hAnsi="宋体"/>
          <w:b/>
          <w:color w:val="000000" w:themeColor="text1"/>
          <w:kern w:val="0"/>
          <w:sz w:val="24"/>
          <w:highlight w:val="none"/>
          <w14:textFill>
            <w14:solidFill>
              <w14:schemeClr w14:val="tx1"/>
            </w14:solidFill>
          </w14:textFill>
        </w:rPr>
      </w:pPr>
      <w:r>
        <w:rPr>
          <w:rFonts w:hint="eastAsia" w:ascii="宋体" w:hAnsi="宋体"/>
          <w:b/>
          <w:color w:val="000000" w:themeColor="text1"/>
          <w:kern w:val="0"/>
          <w:sz w:val="24"/>
          <w:highlight w:val="none"/>
          <w14:textFill>
            <w14:solidFill>
              <w14:schemeClr w14:val="tx1"/>
            </w14:solidFill>
          </w14:textFill>
        </w:rPr>
        <w:t>18．投标文件的递交</w:t>
      </w:r>
    </w:p>
    <w:p w14:paraId="79E555EA">
      <w:pPr>
        <w:tabs>
          <w:tab w:val="left" w:pos="540"/>
        </w:tabs>
        <w:spacing w:line="480" w:lineRule="exact"/>
        <w:ind w:firstLine="495"/>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18.1 投标单位应在本须知前附表规定的地点，于投标截止时间前上传电子投标文件。</w:t>
      </w:r>
    </w:p>
    <w:p w14:paraId="01B0D433">
      <w:pPr>
        <w:tabs>
          <w:tab w:val="left" w:pos="540"/>
        </w:tabs>
        <w:spacing w:line="480" w:lineRule="exact"/>
        <w:ind w:firstLine="495"/>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18.2 投标单位所上传的电子投标文件不予退还。</w:t>
      </w:r>
    </w:p>
    <w:p w14:paraId="1556CF43">
      <w:pPr>
        <w:tabs>
          <w:tab w:val="left" w:pos="540"/>
        </w:tabs>
        <w:spacing w:line="480" w:lineRule="exact"/>
        <w:ind w:firstLine="495"/>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18.3 逾期上传的或者未送达指定地点的电子投标文件，采购人不予受理。</w:t>
      </w:r>
    </w:p>
    <w:p w14:paraId="525EBEE5">
      <w:pPr>
        <w:snapToGrid w:val="0"/>
        <w:spacing w:before="156" w:after="156" w:line="480" w:lineRule="exact"/>
        <w:jc w:val="left"/>
        <w:rPr>
          <w:rFonts w:hint="eastAsia" w:ascii="宋体" w:hAnsi="宋体"/>
          <w:b/>
          <w:color w:val="000000" w:themeColor="text1"/>
          <w:kern w:val="0"/>
          <w:sz w:val="24"/>
          <w:highlight w:val="none"/>
          <w14:textFill>
            <w14:solidFill>
              <w14:schemeClr w14:val="tx1"/>
            </w14:solidFill>
          </w14:textFill>
        </w:rPr>
      </w:pPr>
      <w:bookmarkStart w:id="42" w:name="_Toc152042335"/>
      <w:bookmarkStart w:id="43" w:name="_Toc144974527"/>
      <w:bookmarkStart w:id="44" w:name="_Toc292893121"/>
      <w:bookmarkStart w:id="45" w:name="_Toc179632577"/>
      <w:bookmarkStart w:id="46" w:name="_Toc152045559"/>
      <w:r>
        <w:rPr>
          <w:rFonts w:hint="eastAsia" w:ascii="宋体" w:hAnsi="宋体"/>
          <w:b/>
          <w:color w:val="000000" w:themeColor="text1"/>
          <w:kern w:val="0"/>
          <w:sz w:val="24"/>
          <w:highlight w:val="none"/>
          <w14:textFill>
            <w14:solidFill>
              <w14:schemeClr w14:val="tx1"/>
            </w14:solidFill>
          </w14:textFill>
        </w:rPr>
        <w:t>19．投标文件的修改和撤回</w:t>
      </w:r>
    </w:p>
    <w:p w14:paraId="42C5964F">
      <w:pPr>
        <w:tabs>
          <w:tab w:val="left" w:pos="540"/>
        </w:tabs>
        <w:spacing w:line="480" w:lineRule="exact"/>
        <w:ind w:firstLine="495"/>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19.1在本供应商须知前附表规定的投标截止时间前，供应商可以修改或撤回已上传的投标文件。</w:t>
      </w:r>
    </w:p>
    <w:p w14:paraId="24D91A08">
      <w:pPr>
        <w:tabs>
          <w:tab w:val="left" w:pos="540"/>
        </w:tabs>
        <w:spacing w:line="480" w:lineRule="exact"/>
        <w:ind w:firstLine="495"/>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19.2投标单位修改或撤回已上传投标文件的书面通知应按照本须知要求加盖电子印章或签章。修改的内容为投标文件的组成部分。</w:t>
      </w:r>
    </w:p>
    <w:p w14:paraId="6118E6D3">
      <w:pPr>
        <w:tabs>
          <w:tab w:val="left" w:pos="540"/>
        </w:tabs>
        <w:spacing w:line="480" w:lineRule="exact"/>
        <w:ind w:firstLine="495"/>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19.3在投标截止日期之后，供应商不得补充、修改投标文件。</w:t>
      </w:r>
    </w:p>
    <w:p w14:paraId="2FAC9EB6">
      <w:pPr>
        <w:tabs>
          <w:tab w:val="left" w:pos="540"/>
        </w:tabs>
        <w:spacing w:line="480" w:lineRule="exact"/>
        <w:ind w:firstLine="495"/>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19.4在投标截止时间至投标有效期满之前，供应商不得撤回其投标文件。</w:t>
      </w:r>
    </w:p>
    <w:bookmarkEnd w:id="42"/>
    <w:bookmarkEnd w:id="43"/>
    <w:bookmarkEnd w:id="44"/>
    <w:bookmarkEnd w:id="45"/>
    <w:bookmarkEnd w:id="46"/>
    <w:p w14:paraId="420C26CD">
      <w:pPr>
        <w:spacing w:before="156" w:after="156" w:line="440" w:lineRule="exact"/>
        <w:jc w:val="center"/>
        <w:rPr>
          <w:rFonts w:hint="eastAsia"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（五）开标</w:t>
      </w:r>
    </w:p>
    <w:p w14:paraId="3D8E6B71">
      <w:pPr>
        <w:snapToGrid w:val="0"/>
        <w:spacing w:before="156" w:after="156" w:line="440" w:lineRule="exact"/>
        <w:jc w:val="left"/>
        <w:rPr>
          <w:rFonts w:hint="eastAsia" w:ascii="宋体" w:hAnsi="宋体"/>
          <w:b/>
          <w:bCs/>
          <w:color w:val="000000" w:themeColor="text1"/>
          <w:kern w:val="0"/>
          <w:sz w:val="24"/>
          <w:szCs w:val="24"/>
          <w:highlight w:val="none"/>
          <w14:textFill>
            <w14:solidFill>
              <w14:schemeClr w14:val="tx1"/>
            </w14:solidFill>
          </w14:textFill>
        </w:rPr>
      </w:pPr>
      <w:r>
        <w:rPr>
          <w:rFonts w:hint="eastAsia" w:ascii="宋体" w:hAnsi="宋体"/>
          <w:b/>
          <w:bCs/>
          <w:color w:val="000000" w:themeColor="text1"/>
          <w:kern w:val="0"/>
          <w:sz w:val="24"/>
          <w:szCs w:val="24"/>
          <w:highlight w:val="none"/>
          <w14:textFill>
            <w14:solidFill>
              <w14:schemeClr w14:val="tx1"/>
            </w14:solidFill>
          </w14:textFill>
        </w:rPr>
        <w:t>20．开标</w:t>
      </w:r>
    </w:p>
    <w:p w14:paraId="797D177A">
      <w:pPr>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20.1</w:t>
      </w:r>
      <w:r>
        <w:rPr>
          <w:rFonts w:hint="eastAsia" w:ascii="宋体" w:hAnsi="宋体"/>
          <w:color w:val="000000" w:themeColor="text1"/>
          <w:kern w:val="0"/>
          <w:sz w:val="24"/>
          <w:highlight w:val="none"/>
          <w14:textFill>
            <w14:solidFill>
              <w14:schemeClr w14:val="tx1"/>
            </w14:solidFill>
          </w14:textFill>
        </w:rPr>
        <w:t>开标时，</w:t>
      </w:r>
      <w:r>
        <w:rPr>
          <w:rFonts w:hint="eastAsia" w:ascii="宋体" w:hAnsi="宋体"/>
          <w:color w:val="000000" w:themeColor="text1"/>
          <w:kern w:val="0"/>
          <w:sz w:val="24"/>
          <w:highlight w:val="none"/>
          <w:lang w:eastAsia="zh-CN"/>
          <w14:textFill>
            <w14:solidFill>
              <w14:schemeClr w14:val="tx1"/>
            </w14:solidFill>
          </w14:textFill>
        </w:rPr>
        <w:t>供应商</w:t>
      </w:r>
      <w:r>
        <w:rPr>
          <w:rFonts w:hint="eastAsia" w:ascii="宋体" w:hAnsi="宋体"/>
          <w:color w:val="000000" w:themeColor="text1"/>
          <w:kern w:val="0"/>
          <w:sz w:val="24"/>
          <w:highlight w:val="none"/>
          <w14:textFill>
            <w14:solidFill>
              <w14:schemeClr w14:val="tx1"/>
            </w14:solidFill>
          </w14:textFill>
        </w:rPr>
        <w:t>采用网上远程异地解密时，请用CA证书登录平顶山市公共资源交易中心业务系统，进入本项目开标大厅点击解密来完成投标文件的解密工作。每位</w:t>
      </w:r>
      <w:r>
        <w:rPr>
          <w:rFonts w:hint="eastAsia" w:ascii="宋体" w:hAnsi="宋体"/>
          <w:color w:val="000000" w:themeColor="text1"/>
          <w:kern w:val="0"/>
          <w:sz w:val="24"/>
          <w:highlight w:val="none"/>
          <w:lang w:eastAsia="zh-CN"/>
          <w14:textFill>
            <w14:solidFill>
              <w14:schemeClr w14:val="tx1"/>
            </w14:solidFill>
          </w14:textFill>
        </w:rPr>
        <w:t>供应商</w:t>
      </w:r>
      <w:r>
        <w:rPr>
          <w:rFonts w:hint="eastAsia" w:ascii="宋体" w:hAnsi="宋体"/>
          <w:color w:val="000000" w:themeColor="text1"/>
          <w:kern w:val="0"/>
          <w:sz w:val="24"/>
          <w:highlight w:val="none"/>
          <w14:textFill>
            <w14:solidFill>
              <w14:schemeClr w14:val="tx1"/>
            </w14:solidFill>
          </w14:textFill>
        </w:rPr>
        <w:t>的解密时间从开标时间起60分钟内完成，超过规定时间解密的投标文件不予接收。</w:t>
      </w:r>
    </w:p>
    <w:p w14:paraId="50431D13">
      <w:pPr>
        <w:tabs>
          <w:tab w:val="left" w:pos="540"/>
        </w:tabs>
        <w:spacing w:line="440" w:lineRule="exact"/>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20.2如出现</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的电子投标文件无法解密的情况，</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应及时联系采购人（代理机构）进行说明。投标文件解密异常，按以下步骤进行处理：</w:t>
      </w:r>
    </w:p>
    <w:p w14:paraId="6D72FFD0">
      <w:pPr>
        <w:tabs>
          <w:tab w:val="left" w:pos="540"/>
        </w:tabs>
        <w:spacing w:line="440" w:lineRule="exact"/>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（1）如果是投标文件自身问题导致投标文件无法解密的，该投标文件将不予接收、解密。</w:t>
      </w:r>
    </w:p>
    <w:p w14:paraId="6AC7CF1C">
      <w:pPr>
        <w:widowControl w:val="0"/>
        <w:tabs>
          <w:tab w:val="left" w:pos="540"/>
        </w:tabs>
        <w:spacing w:line="440" w:lineRule="exact"/>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（2）如果是电子化交易系统问题造成投标文件无法解密的，将由技术人员进行排查处理。如短时间内问题无法解决的，将由采购人（代理机构）联系监督部门申请暂停开标，待问题解决后继续开标。</w:t>
      </w:r>
    </w:p>
    <w:p w14:paraId="3C4BFE1C">
      <w:pPr>
        <w:widowControl w:val="0"/>
        <w:tabs>
          <w:tab w:val="left" w:pos="540"/>
        </w:tabs>
        <w:spacing w:line="440" w:lineRule="exact"/>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20.3所有投标文件解密完成后，由采购人（代理机构）操作，对开标结果进行公示。</w:t>
      </w:r>
    </w:p>
    <w:p w14:paraId="5C873E47">
      <w:pPr>
        <w:widowControl w:val="0"/>
        <w:tabs>
          <w:tab w:val="left" w:pos="540"/>
        </w:tabs>
        <w:spacing w:line="440" w:lineRule="exact"/>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20.4</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应保证在开标期间电话、电脑、网络等能够正常使用，</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因停电、电脑病毒、网络堵塞等原因，未在规定的解密时间内对投标文件进行解密的，其投标文件不予接收。</w:t>
      </w:r>
    </w:p>
    <w:p w14:paraId="117D67C3">
      <w:pPr>
        <w:widowControl w:val="0"/>
        <w:tabs>
          <w:tab w:val="left" w:pos="540"/>
        </w:tabs>
        <w:spacing w:line="440" w:lineRule="exact"/>
        <w:ind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20.5解密完成后，</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可登录到交易系统查看自己的投标报价。如对自己的报价内容有异议的，应在报价内容显示后20分钟内联系采购人（代理机构）进行质疑，</w:t>
      </w: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未在规定时间内提出质疑的，视为认可开标结果显示内容。</w:t>
      </w:r>
    </w:p>
    <w:p w14:paraId="0A51441B">
      <w:pPr>
        <w:widowControl w:val="0"/>
        <w:tabs>
          <w:tab w:val="left" w:pos="540"/>
        </w:tabs>
        <w:spacing w:line="440" w:lineRule="exact"/>
        <w:jc w:val="center"/>
        <w:rPr>
          <w:rFonts w:hint="eastAsia"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（六）评标</w:t>
      </w:r>
    </w:p>
    <w:p w14:paraId="0079D0DC">
      <w:pPr>
        <w:widowControl w:val="0"/>
        <w:snapToGrid w:val="0"/>
        <w:spacing w:before="156" w:after="156" w:line="440" w:lineRule="exact"/>
        <w:jc w:val="left"/>
        <w:rPr>
          <w:rFonts w:hint="eastAsia" w:ascii="宋体" w:hAnsi="宋体"/>
          <w:b/>
          <w:bCs/>
          <w:color w:val="000000" w:themeColor="text1"/>
          <w:kern w:val="0"/>
          <w:sz w:val="24"/>
          <w:szCs w:val="24"/>
          <w:highlight w:val="none"/>
          <w14:textFill>
            <w14:solidFill>
              <w14:schemeClr w14:val="tx1"/>
            </w14:solidFill>
          </w14:textFill>
        </w:rPr>
      </w:pPr>
      <w:r>
        <w:rPr>
          <w:rFonts w:hint="eastAsia" w:ascii="宋体" w:hAnsi="宋体"/>
          <w:b/>
          <w:bCs/>
          <w:color w:val="000000" w:themeColor="text1"/>
          <w:kern w:val="0"/>
          <w:sz w:val="24"/>
          <w:szCs w:val="24"/>
          <w:highlight w:val="none"/>
          <w14:textFill>
            <w14:solidFill>
              <w14:schemeClr w14:val="tx1"/>
            </w14:solidFill>
          </w14:textFill>
        </w:rPr>
        <w:t>21. 评标委员会</w:t>
      </w:r>
    </w:p>
    <w:p w14:paraId="6BB6EEBD">
      <w:pPr>
        <w:widowControl w:val="0"/>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21.1评标由依法组建的评标委员会负责。</w:t>
      </w:r>
      <w:r>
        <w:rPr>
          <w:rFonts w:hint="eastAsia" w:ascii="宋体" w:hAnsi="宋体"/>
          <w:color w:val="000000" w:themeColor="text1"/>
          <w:sz w:val="24"/>
          <w:szCs w:val="24"/>
          <w:highlight w:val="none"/>
          <w14:textFill>
            <w14:solidFill>
              <w14:schemeClr w14:val="tx1"/>
            </w14:solidFill>
          </w14:textFill>
        </w:rPr>
        <w:t>评标专家</w:t>
      </w:r>
      <w:r>
        <w:rPr>
          <w:rFonts w:hint="eastAsia" w:ascii="宋体" w:hAnsi="宋体"/>
          <w:color w:val="000000" w:themeColor="text1"/>
          <w:kern w:val="0"/>
          <w:sz w:val="24"/>
          <w:szCs w:val="24"/>
          <w:highlight w:val="none"/>
          <w14:textFill>
            <w14:solidFill>
              <w14:schemeClr w14:val="tx1"/>
            </w14:solidFill>
          </w14:textFill>
        </w:rPr>
        <w:t>在招标监督部门的监督下，从评标专家库中随机抽取。评标委员会根据本项目招标文件的评定标办法独立完成评标工作</w:t>
      </w:r>
      <w:r>
        <w:rPr>
          <w:rFonts w:hint="eastAsia" w:ascii="宋体" w:hAnsi="宋体"/>
          <w:color w:val="000000" w:themeColor="text1"/>
          <w:sz w:val="24"/>
          <w:szCs w:val="24"/>
          <w:highlight w:val="none"/>
          <w14:textFill>
            <w14:solidFill>
              <w14:schemeClr w14:val="tx1"/>
            </w14:solidFill>
          </w14:textFill>
        </w:rPr>
        <w:t>，任何人不得干预评委的正常评标工作。</w:t>
      </w:r>
    </w:p>
    <w:p w14:paraId="2F7A4051">
      <w:pPr>
        <w:widowControl w:val="0"/>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21.2评标委员会成员有下列情形之一的，应当回避：</w:t>
      </w:r>
    </w:p>
    <w:p w14:paraId="49FB9E92">
      <w:pPr>
        <w:widowControl w:val="0"/>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（1）采购人或</w:t>
      </w:r>
      <w:r>
        <w:rPr>
          <w:rFonts w:hint="eastAsia" w:ascii="宋体" w:hAnsi="宋体"/>
          <w:color w:val="000000" w:themeColor="text1"/>
          <w:kern w:val="0"/>
          <w:sz w:val="24"/>
          <w:szCs w:val="24"/>
          <w:highlight w:val="none"/>
          <w:lang w:eastAsia="zh-CN"/>
          <w14:textFill>
            <w14:solidFill>
              <w14:schemeClr w14:val="tx1"/>
            </w14:solidFill>
          </w14:textFill>
        </w:rPr>
        <w:t>供应商</w:t>
      </w:r>
      <w:r>
        <w:rPr>
          <w:rFonts w:hint="eastAsia" w:ascii="宋体" w:hAnsi="宋体"/>
          <w:color w:val="000000" w:themeColor="text1"/>
          <w:kern w:val="0"/>
          <w:sz w:val="24"/>
          <w:szCs w:val="24"/>
          <w:highlight w:val="none"/>
          <w14:textFill>
            <w14:solidFill>
              <w14:schemeClr w14:val="tx1"/>
            </w14:solidFill>
          </w14:textFill>
        </w:rPr>
        <w:t>的主要负责人的近亲属；</w:t>
      </w:r>
    </w:p>
    <w:p w14:paraId="026B553F">
      <w:pPr>
        <w:widowControl w:val="0"/>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（2）项目主管部门或者行政监督部门的人员；</w:t>
      </w:r>
    </w:p>
    <w:p w14:paraId="00DD1148">
      <w:pPr>
        <w:widowControl w:val="0"/>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（3）与</w:t>
      </w:r>
      <w:r>
        <w:rPr>
          <w:rFonts w:hint="eastAsia" w:ascii="宋体" w:hAnsi="宋体"/>
          <w:color w:val="000000" w:themeColor="text1"/>
          <w:kern w:val="0"/>
          <w:sz w:val="24"/>
          <w:szCs w:val="24"/>
          <w:highlight w:val="none"/>
          <w:lang w:eastAsia="zh-CN"/>
          <w14:textFill>
            <w14:solidFill>
              <w14:schemeClr w14:val="tx1"/>
            </w14:solidFill>
          </w14:textFill>
        </w:rPr>
        <w:t>供应商</w:t>
      </w:r>
      <w:r>
        <w:rPr>
          <w:rFonts w:hint="eastAsia" w:ascii="宋体" w:hAnsi="宋体"/>
          <w:color w:val="000000" w:themeColor="text1"/>
          <w:kern w:val="0"/>
          <w:sz w:val="24"/>
          <w:szCs w:val="24"/>
          <w:highlight w:val="none"/>
          <w14:textFill>
            <w14:solidFill>
              <w14:schemeClr w14:val="tx1"/>
            </w14:solidFill>
          </w14:textFill>
        </w:rPr>
        <w:t>有经济利益关系，可能影响对投标公正评审的；</w:t>
      </w:r>
    </w:p>
    <w:p w14:paraId="568FC087">
      <w:pPr>
        <w:widowControl w:val="0"/>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（4）曾因在招标、评标以及其他与招标投标有关活动中从事违法行为而受过行政处罚或刑事处罚的。</w:t>
      </w:r>
    </w:p>
    <w:p w14:paraId="4785B357">
      <w:pPr>
        <w:widowControl w:val="0"/>
        <w:snapToGrid w:val="0"/>
        <w:spacing w:before="156" w:after="156" w:line="440" w:lineRule="exact"/>
        <w:jc w:val="left"/>
        <w:rPr>
          <w:rFonts w:hint="eastAsia" w:ascii="宋体" w:hAnsi="宋体"/>
          <w:b/>
          <w:bCs/>
          <w:color w:val="000000" w:themeColor="text1"/>
          <w:kern w:val="0"/>
          <w:sz w:val="24"/>
          <w:szCs w:val="24"/>
          <w:highlight w:val="none"/>
          <w14:textFill>
            <w14:solidFill>
              <w14:schemeClr w14:val="tx1"/>
            </w14:solidFill>
          </w14:textFill>
        </w:rPr>
      </w:pPr>
      <w:bookmarkStart w:id="47" w:name="_Toc144974532"/>
      <w:bookmarkEnd w:id="47"/>
      <w:bookmarkStart w:id="48" w:name="_Toc152042340"/>
      <w:bookmarkEnd w:id="48"/>
      <w:bookmarkStart w:id="49" w:name="_Toc292893126"/>
      <w:bookmarkEnd w:id="49"/>
      <w:bookmarkStart w:id="50" w:name="_Toc179632582"/>
      <w:bookmarkEnd w:id="50"/>
      <w:bookmarkStart w:id="51" w:name="_Toc152045564"/>
      <w:bookmarkEnd w:id="51"/>
      <w:bookmarkStart w:id="52" w:name="_Toc217446060"/>
      <w:r>
        <w:rPr>
          <w:rFonts w:hint="eastAsia" w:ascii="宋体" w:hAnsi="宋体"/>
          <w:b/>
          <w:bCs/>
          <w:color w:val="000000" w:themeColor="text1"/>
          <w:kern w:val="0"/>
          <w:sz w:val="24"/>
          <w:szCs w:val="24"/>
          <w:highlight w:val="none"/>
          <w14:textFill>
            <w14:solidFill>
              <w14:schemeClr w14:val="tx1"/>
            </w14:solidFill>
          </w14:textFill>
        </w:rPr>
        <w:t>22．评标原则</w:t>
      </w:r>
      <w:r>
        <w:rPr>
          <w:rFonts w:hint="eastAsia" w:ascii="宋体" w:hAnsi="宋体"/>
          <w:b/>
          <w:bCs/>
          <w:color w:val="000000" w:themeColor="text1"/>
          <w:kern w:val="0"/>
          <w:sz w:val="24"/>
          <w:szCs w:val="24"/>
          <w:highlight w:val="none"/>
          <w14:textFill>
            <w14:solidFill>
              <w14:schemeClr w14:val="tx1"/>
            </w14:solidFill>
          </w14:textFill>
        </w:rPr>
        <w:tab/>
      </w:r>
    </w:p>
    <w:p w14:paraId="18906ACF">
      <w:pPr>
        <w:widowControl w:val="0"/>
        <w:tabs>
          <w:tab w:val="left" w:pos="540"/>
        </w:tabs>
        <w:spacing w:line="440" w:lineRule="exact"/>
        <w:ind w:firstLine="495"/>
        <w:jc w:val="left"/>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评标活动遵循公平、公正、科学和择优的原则。</w:t>
      </w:r>
    </w:p>
    <w:p w14:paraId="0E7C372D">
      <w:pPr>
        <w:widowControl w:val="0"/>
        <w:snapToGrid w:val="0"/>
        <w:spacing w:before="156" w:after="156" w:line="480" w:lineRule="exact"/>
        <w:jc w:val="left"/>
        <w:rPr>
          <w:rFonts w:hint="eastAsia" w:ascii="宋体" w:hAnsi="宋体"/>
          <w:b/>
          <w:color w:val="000000" w:themeColor="text1"/>
          <w:kern w:val="0"/>
          <w:sz w:val="24"/>
          <w:highlight w:val="none"/>
          <w14:textFill>
            <w14:solidFill>
              <w14:schemeClr w14:val="tx1"/>
            </w14:solidFill>
          </w14:textFill>
        </w:rPr>
      </w:pPr>
      <w:bookmarkStart w:id="53" w:name="_Toc144974533"/>
      <w:bookmarkEnd w:id="53"/>
      <w:bookmarkStart w:id="54" w:name="_Toc152042341"/>
      <w:bookmarkEnd w:id="54"/>
      <w:bookmarkStart w:id="55" w:name="_Toc152045565"/>
      <w:bookmarkEnd w:id="55"/>
      <w:bookmarkStart w:id="56" w:name="_Toc179632583"/>
      <w:bookmarkEnd w:id="56"/>
      <w:bookmarkStart w:id="57" w:name="_Toc292893127"/>
      <w:bookmarkEnd w:id="57"/>
      <w:r>
        <w:rPr>
          <w:rFonts w:hint="eastAsia" w:ascii="宋体" w:hAnsi="宋体"/>
          <w:b/>
          <w:color w:val="000000" w:themeColor="text1"/>
          <w:kern w:val="0"/>
          <w:sz w:val="24"/>
          <w:highlight w:val="none"/>
          <w14:textFill>
            <w14:solidFill>
              <w14:schemeClr w14:val="tx1"/>
            </w14:solidFill>
          </w14:textFill>
        </w:rPr>
        <w:t>23．评标</w:t>
      </w:r>
    </w:p>
    <w:p w14:paraId="50F4D02D">
      <w:pPr>
        <w:widowControl w:val="0"/>
        <w:tabs>
          <w:tab w:val="left" w:pos="540"/>
        </w:tabs>
        <w:spacing w:line="480" w:lineRule="exact"/>
        <w:ind w:firstLine="495"/>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评标委员会按照第三章“评标办法”规定的方法、评审因素、标准和程序对投标文件进行评审。第三章“评标办法”没有规定的方法、评审因素和标准，不作为评标依据。</w:t>
      </w:r>
    </w:p>
    <w:bookmarkEnd w:id="52"/>
    <w:p w14:paraId="00714D64">
      <w:pPr>
        <w:widowControl w:val="0"/>
        <w:snapToGrid w:val="0"/>
        <w:spacing w:before="156" w:after="156" w:line="480" w:lineRule="exact"/>
        <w:jc w:val="left"/>
        <w:rPr>
          <w:rFonts w:hint="eastAsia" w:ascii="宋体" w:hAnsi="宋体"/>
          <w:b/>
          <w:color w:val="000000" w:themeColor="text1"/>
          <w:kern w:val="0"/>
          <w:sz w:val="24"/>
          <w:highlight w:val="none"/>
          <w14:textFill>
            <w14:solidFill>
              <w14:schemeClr w14:val="tx1"/>
            </w14:solidFill>
          </w14:textFill>
        </w:rPr>
      </w:pPr>
      <w:bookmarkStart w:id="58" w:name="_Toc1862"/>
      <w:r>
        <w:rPr>
          <w:rFonts w:hint="eastAsia" w:ascii="宋体" w:hAnsi="宋体"/>
          <w:b/>
          <w:color w:val="000000" w:themeColor="text1"/>
          <w:kern w:val="0"/>
          <w:sz w:val="24"/>
          <w:highlight w:val="none"/>
          <w14:textFill>
            <w14:solidFill>
              <w14:schemeClr w14:val="tx1"/>
            </w14:solidFill>
          </w14:textFill>
        </w:rPr>
        <w:t>24．投标文件的初步评审</w:t>
      </w:r>
    </w:p>
    <w:p w14:paraId="7E610A7A">
      <w:pPr>
        <w:widowControl w:val="0"/>
        <w:tabs>
          <w:tab w:val="left" w:pos="540"/>
        </w:tabs>
        <w:spacing w:line="480" w:lineRule="exact"/>
        <w:ind w:firstLine="493"/>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24.1评标时，评标委员会将首先评定每份文件是否实质上响应了招标文件的要求。所谓实质上响应，是指投标文件应与招标文件的所有实质性条款、条件和要求相符，无显著差异或保留，或者对合同中约定的采购人的权利和供应商的义务方面造成重大的限制，纠正这些显著差异或保留将会对其他实质上响应招标文件要求的投标文件的供应商的竞争地位产生不公正的影响。</w:t>
      </w:r>
    </w:p>
    <w:p w14:paraId="53D59299">
      <w:pPr>
        <w:tabs>
          <w:tab w:val="left" w:pos="540"/>
        </w:tabs>
        <w:spacing w:line="480" w:lineRule="exact"/>
        <w:ind w:firstLine="493"/>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24.2实质上没响应招标文件要求的投标将被拒绝。供应商不得通过修正或撤销不合要求的偏离或保留从而使其投标成为实质上响应的投标。如发生下列情况之一的，不进入详细评审（打分程序）：</w:t>
      </w:r>
    </w:p>
    <w:p w14:paraId="4F217239">
      <w:pPr>
        <w:tabs>
          <w:tab w:val="left" w:pos="540"/>
        </w:tabs>
        <w:spacing w:line="480" w:lineRule="exact"/>
        <w:ind w:firstLine="495"/>
        <w:jc w:val="left"/>
        <w:rPr>
          <w:rFonts w:hint="eastAsia" w:ascii="宋体" w:hAnsi="宋体"/>
          <w:b/>
          <w:color w:val="000000" w:themeColor="text1"/>
          <w:kern w:val="0"/>
          <w:sz w:val="24"/>
          <w:highlight w:val="none"/>
          <w14:textFill>
            <w14:solidFill>
              <w14:schemeClr w14:val="tx1"/>
            </w14:solidFill>
          </w14:textFill>
        </w:rPr>
      </w:pPr>
      <w:r>
        <w:rPr>
          <w:rFonts w:hint="eastAsia" w:ascii="宋体" w:hAnsi="宋体"/>
          <w:b/>
          <w:color w:val="000000" w:themeColor="text1"/>
          <w:kern w:val="0"/>
          <w:sz w:val="24"/>
          <w:highlight w:val="none"/>
          <w14:textFill>
            <w14:solidFill>
              <w14:schemeClr w14:val="tx1"/>
            </w14:solidFill>
          </w14:textFill>
        </w:rPr>
        <w:t>24.2.1投标文件（投标书）无投标单位电子印章并无法定代表人或法定代表人授权的代理人电子签章的；</w:t>
      </w:r>
    </w:p>
    <w:p w14:paraId="7D8C8EE4">
      <w:pPr>
        <w:tabs>
          <w:tab w:val="left" w:pos="540"/>
        </w:tabs>
        <w:snapToGrid w:val="0"/>
        <w:spacing w:line="480" w:lineRule="exact"/>
        <w:ind w:firstLine="495"/>
        <w:jc w:val="left"/>
        <w:rPr>
          <w:rFonts w:hint="eastAsia" w:ascii="宋体" w:hAnsi="宋体"/>
          <w:b/>
          <w:color w:val="000000" w:themeColor="text1"/>
          <w:kern w:val="0"/>
          <w:sz w:val="24"/>
          <w:highlight w:val="none"/>
          <w14:textFill>
            <w14:solidFill>
              <w14:schemeClr w14:val="tx1"/>
            </w14:solidFill>
          </w14:textFill>
        </w:rPr>
      </w:pPr>
      <w:r>
        <w:rPr>
          <w:rFonts w:hint="eastAsia" w:ascii="宋体" w:hAnsi="宋体"/>
          <w:b/>
          <w:color w:val="000000" w:themeColor="text1"/>
          <w:kern w:val="0"/>
          <w:sz w:val="24"/>
          <w:highlight w:val="none"/>
          <w14:textFill>
            <w14:solidFill>
              <w14:schemeClr w14:val="tx1"/>
            </w14:solidFill>
          </w14:textFill>
        </w:rPr>
        <w:t>24.2.2投标单位递交两份或多份内容不同的投标文件，或在一份投标文件中对同一招标项目报有两个或多个报价，且未声明哪一个有效的；</w:t>
      </w:r>
    </w:p>
    <w:p w14:paraId="7961122E">
      <w:pPr>
        <w:tabs>
          <w:tab w:val="left" w:pos="540"/>
        </w:tabs>
        <w:snapToGrid w:val="0"/>
        <w:spacing w:line="480" w:lineRule="exact"/>
        <w:ind w:firstLine="495"/>
        <w:jc w:val="left"/>
        <w:rPr>
          <w:rFonts w:hint="eastAsia" w:ascii="宋体" w:hAnsi="宋体"/>
          <w:b/>
          <w:color w:val="000000" w:themeColor="text1"/>
          <w:kern w:val="0"/>
          <w:sz w:val="24"/>
          <w:highlight w:val="none"/>
          <w14:textFill>
            <w14:solidFill>
              <w14:schemeClr w14:val="tx1"/>
            </w14:solidFill>
          </w14:textFill>
        </w:rPr>
      </w:pPr>
      <w:r>
        <w:rPr>
          <w:rFonts w:hint="eastAsia" w:ascii="宋体" w:hAnsi="宋体"/>
          <w:b/>
          <w:color w:val="000000" w:themeColor="text1"/>
          <w:kern w:val="0"/>
          <w:sz w:val="24"/>
          <w:highlight w:val="none"/>
          <w14:textFill>
            <w14:solidFill>
              <w14:schemeClr w14:val="tx1"/>
            </w14:solidFill>
          </w14:textFill>
        </w:rPr>
        <w:t>24.2.3投标文件附有招标方不能接受的条件的；</w:t>
      </w:r>
    </w:p>
    <w:p w14:paraId="13E7282B">
      <w:pPr>
        <w:tabs>
          <w:tab w:val="left" w:pos="540"/>
        </w:tabs>
        <w:snapToGrid w:val="0"/>
        <w:spacing w:line="480" w:lineRule="exact"/>
        <w:ind w:firstLine="495"/>
        <w:jc w:val="left"/>
        <w:rPr>
          <w:rFonts w:hint="eastAsia" w:ascii="宋体" w:hAnsi="宋体"/>
          <w:b/>
          <w:color w:val="000000" w:themeColor="text1"/>
          <w:kern w:val="0"/>
          <w:sz w:val="24"/>
          <w:highlight w:val="none"/>
          <w14:textFill>
            <w14:solidFill>
              <w14:schemeClr w14:val="tx1"/>
            </w14:solidFill>
          </w14:textFill>
        </w:rPr>
      </w:pPr>
      <w:r>
        <w:rPr>
          <w:rFonts w:hint="eastAsia" w:ascii="宋体" w:hAnsi="宋体"/>
          <w:b/>
          <w:color w:val="000000" w:themeColor="text1"/>
          <w:kern w:val="0"/>
          <w:sz w:val="24"/>
          <w:highlight w:val="none"/>
          <w14:textFill>
            <w14:solidFill>
              <w14:schemeClr w14:val="tx1"/>
            </w14:solidFill>
          </w14:textFill>
        </w:rPr>
        <w:t>24.2.4投标文件中规定的其他情形。</w:t>
      </w:r>
    </w:p>
    <w:p w14:paraId="154EA786">
      <w:pPr>
        <w:tabs>
          <w:tab w:val="left" w:pos="540"/>
        </w:tabs>
        <w:snapToGrid w:val="0"/>
        <w:spacing w:line="480" w:lineRule="exact"/>
        <w:ind w:firstLine="495"/>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24.3投标文件一经开标，供应商无权予以更正或撤回。</w:t>
      </w:r>
    </w:p>
    <w:p w14:paraId="52D36249">
      <w:pPr>
        <w:snapToGrid w:val="0"/>
        <w:spacing w:before="156" w:after="156" w:line="480" w:lineRule="exact"/>
        <w:jc w:val="left"/>
        <w:rPr>
          <w:rFonts w:hint="eastAsia" w:ascii="宋体" w:hAnsi="宋体"/>
          <w:b/>
          <w:color w:val="000000" w:themeColor="text1"/>
          <w:kern w:val="0"/>
          <w:sz w:val="24"/>
          <w:highlight w:val="none"/>
          <w14:textFill>
            <w14:solidFill>
              <w14:schemeClr w14:val="tx1"/>
            </w14:solidFill>
          </w14:textFill>
        </w:rPr>
      </w:pPr>
      <w:r>
        <w:rPr>
          <w:rFonts w:hint="eastAsia" w:ascii="宋体" w:hAnsi="宋体"/>
          <w:b/>
          <w:color w:val="000000" w:themeColor="text1"/>
          <w:kern w:val="0"/>
          <w:sz w:val="24"/>
          <w:highlight w:val="none"/>
          <w14:textFill>
            <w14:solidFill>
              <w14:schemeClr w14:val="tx1"/>
            </w14:solidFill>
          </w14:textFill>
        </w:rPr>
        <w:t>25．投标文件错误的修正</w:t>
      </w:r>
    </w:p>
    <w:p w14:paraId="4DD0A911">
      <w:pPr>
        <w:tabs>
          <w:tab w:val="left" w:pos="540"/>
        </w:tabs>
        <w:snapToGrid w:val="0"/>
        <w:spacing w:line="480" w:lineRule="exact"/>
        <w:ind w:firstLine="480" w:firstLineChars="200"/>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25.1评标委员会将对确定为实质上响应招标文件要求的投标文件进行校核，看其是否有计算或表达上的错误。开标时，投标文件中开标一览表(报价表)内容与投标文件中明细表内容不一致的，以开标一览表(报价表)为准。投标文件的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14:paraId="59CBF5A4">
      <w:pPr>
        <w:tabs>
          <w:tab w:val="left" w:pos="540"/>
        </w:tabs>
        <w:snapToGrid w:val="0"/>
        <w:spacing w:line="480" w:lineRule="exact"/>
        <w:ind w:firstLine="495"/>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25.2调整或修正投标文件的投标报价经供应商同意后，对供应商起约束作用。如果供应商不接受修正后的报价，则其投标将被拒绝，并不影响评标工作的进行。</w:t>
      </w:r>
    </w:p>
    <w:p w14:paraId="6E2F98F7">
      <w:pPr>
        <w:snapToGrid w:val="0"/>
        <w:spacing w:before="156" w:after="156" w:line="480" w:lineRule="exact"/>
        <w:jc w:val="left"/>
        <w:rPr>
          <w:rFonts w:hint="eastAsia" w:ascii="宋体" w:hAnsi="宋体"/>
          <w:b/>
          <w:color w:val="000000" w:themeColor="text1"/>
          <w:kern w:val="0"/>
          <w:sz w:val="24"/>
          <w:highlight w:val="none"/>
          <w14:textFill>
            <w14:solidFill>
              <w14:schemeClr w14:val="tx1"/>
            </w14:solidFill>
          </w14:textFill>
        </w:rPr>
      </w:pPr>
      <w:r>
        <w:rPr>
          <w:rFonts w:hint="eastAsia" w:ascii="宋体" w:hAnsi="宋体"/>
          <w:b/>
          <w:color w:val="000000" w:themeColor="text1"/>
          <w:kern w:val="0"/>
          <w:sz w:val="24"/>
          <w:highlight w:val="none"/>
          <w14:textFill>
            <w14:solidFill>
              <w14:schemeClr w14:val="tx1"/>
            </w14:solidFill>
          </w14:textFill>
        </w:rPr>
        <w:t>26．投标文件的澄清</w:t>
      </w:r>
    </w:p>
    <w:p w14:paraId="3874B9AE">
      <w:pPr>
        <w:tabs>
          <w:tab w:val="left" w:pos="540"/>
        </w:tabs>
        <w:snapToGrid w:val="0"/>
        <w:spacing w:line="480" w:lineRule="exact"/>
        <w:ind w:firstLine="480" w:firstLineChars="200"/>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26.1在评标阶段，评标委员会认为需要时，可在电子交易系统中通知供应商要求澄清其投标文件中的问题，或者要求补充某些资料，对此，供应商不得拒绝。</w:t>
      </w:r>
    </w:p>
    <w:p w14:paraId="7AFC0B74">
      <w:pPr>
        <w:tabs>
          <w:tab w:val="left" w:pos="540"/>
        </w:tabs>
        <w:snapToGrid w:val="0"/>
        <w:spacing w:line="480" w:lineRule="exact"/>
        <w:ind w:firstLine="480" w:firstLineChars="200"/>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26.2有关澄清的答复，应在电子交易系统中进行，供应商不得借澄清问题的机会，与评标委员会及评标工作人员私下接触或对原投标报价或投标的实质性内容提出修改，但在评标中对发现的算术性差错进行的核实、修正，则不在此列。</w:t>
      </w:r>
    </w:p>
    <w:p w14:paraId="55255842">
      <w:pPr>
        <w:tabs>
          <w:tab w:val="left" w:pos="540"/>
        </w:tabs>
        <w:snapToGrid w:val="0"/>
        <w:spacing w:line="480" w:lineRule="exact"/>
        <w:ind w:firstLine="480" w:firstLineChars="200"/>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26.3评标委员会不接受供应商主动提出的澄清。</w:t>
      </w:r>
    </w:p>
    <w:p w14:paraId="35C93DE9">
      <w:pPr>
        <w:snapToGrid w:val="0"/>
        <w:spacing w:before="156" w:after="156" w:line="480" w:lineRule="exact"/>
        <w:jc w:val="left"/>
        <w:rPr>
          <w:rFonts w:hint="eastAsia" w:ascii="宋体" w:hAnsi="宋体"/>
          <w:b/>
          <w:color w:val="000000" w:themeColor="text1"/>
          <w:kern w:val="0"/>
          <w:sz w:val="24"/>
          <w:highlight w:val="none"/>
          <w14:textFill>
            <w14:solidFill>
              <w14:schemeClr w14:val="tx1"/>
            </w14:solidFill>
          </w14:textFill>
        </w:rPr>
      </w:pPr>
      <w:r>
        <w:rPr>
          <w:rFonts w:hint="eastAsia" w:ascii="宋体" w:hAnsi="宋体"/>
          <w:b/>
          <w:color w:val="000000" w:themeColor="text1"/>
          <w:kern w:val="0"/>
          <w:sz w:val="24"/>
          <w:highlight w:val="none"/>
          <w14:textFill>
            <w14:solidFill>
              <w14:schemeClr w14:val="tx1"/>
            </w14:solidFill>
          </w14:textFill>
        </w:rPr>
        <w:t>27.投标文件的评价与比较</w:t>
      </w:r>
    </w:p>
    <w:p w14:paraId="5EEA047B">
      <w:pPr>
        <w:tabs>
          <w:tab w:val="left" w:pos="540"/>
        </w:tabs>
        <w:snapToGrid w:val="0"/>
        <w:spacing w:line="480" w:lineRule="exact"/>
        <w:ind w:firstLine="495"/>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27.1评标委员会依据本招标文件第三章“评标办法”对通过初审的投标文件进行评价和比较。</w:t>
      </w:r>
    </w:p>
    <w:p w14:paraId="149F553C">
      <w:pPr>
        <w:tabs>
          <w:tab w:val="left" w:pos="540"/>
        </w:tabs>
        <w:snapToGrid w:val="0"/>
        <w:spacing w:line="480" w:lineRule="exact"/>
        <w:ind w:firstLine="495"/>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27.2 评标委员会向采购人提交书面评标报告，并依次推荐综合得分排名位于前3名的合格供应商为中标候选供应商。</w:t>
      </w:r>
    </w:p>
    <w:p w14:paraId="48FE19DF">
      <w:pPr>
        <w:snapToGrid w:val="0"/>
        <w:spacing w:before="156" w:after="156" w:line="480" w:lineRule="exact"/>
        <w:jc w:val="left"/>
        <w:rPr>
          <w:rFonts w:hint="eastAsia" w:ascii="宋体" w:hAnsi="宋体"/>
          <w:b/>
          <w:color w:val="000000" w:themeColor="text1"/>
          <w:kern w:val="0"/>
          <w:sz w:val="24"/>
          <w:highlight w:val="none"/>
          <w14:textFill>
            <w14:solidFill>
              <w14:schemeClr w14:val="tx1"/>
            </w14:solidFill>
          </w14:textFill>
        </w:rPr>
      </w:pPr>
      <w:r>
        <w:rPr>
          <w:rFonts w:hint="eastAsia" w:ascii="宋体" w:hAnsi="宋体"/>
          <w:b/>
          <w:color w:val="000000" w:themeColor="text1"/>
          <w:kern w:val="0"/>
          <w:sz w:val="24"/>
          <w:highlight w:val="none"/>
          <w14:textFill>
            <w14:solidFill>
              <w14:schemeClr w14:val="tx1"/>
            </w14:solidFill>
          </w14:textFill>
        </w:rPr>
        <w:t>28.评标过程的保密</w:t>
      </w:r>
    </w:p>
    <w:p w14:paraId="6B1DC262">
      <w:pPr>
        <w:tabs>
          <w:tab w:val="left" w:pos="540"/>
        </w:tabs>
        <w:snapToGrid w:val="0"/>
        <w:spacing w:line="480" w:lineRule="exact"/>
        <w:ind w:firstLine="495"/>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28.1 开标后，直至授予中标供应商合同为止，评标委员会成员和与评标工作有关的工作人员不得透露对投标文件的评审和比较、中标候选供应商的推荐情况以及与评标有关的其他情况。</w:t>
      </w:r>
    </w:p>
    <w:p w14:paraId="27832891">
      <w:pPr>
        <w:tabs>
          <w:tab w:val="left" w:pos="540"/>
        </w:tabs>
        <w:snapToGrid w:val="0"/>
        <w:spacing w:line="480" w:lineRule="exact"/>
        <w:ind w:firstLine="493"/>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28.2 在投标文件的评审和比较、中标候选供应商推荐以及授予合同的过程中，供应商向采购人和评标委员会施加影响的任何行为，都将会导致其投标被拒绝。</w:t>
      </w:r>
    </w:p>
    <w:p w14:paraId="11EA050D">
      <w:pPr>
        <w:tabs>
          <w:tab w:val="left" w:pos="540"/>
        </w:tabs>
        <w:snapToGrid w:val="0"/>
        <w:spacing w:line="480" w:lineRule="exact"/>
        <w:ind w:firstLine="493"/>
        <w:jc w:val="left"/>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28.3 中标供应商确定后，采购人不对未中标供应商就评标过程以及未能中标做出任何解释。未中标供应商不得向评标委员会组成人员或其他有关人员索问评标过程的情况和材料。</w:t>
      </w:r>
    </w:p>
    <w:p w14:paraId="6FA5F79C">
      <w:pPr>
        <w:snapToGrid w:val="0"/>
        <w:spacing w:before="156" w:after="156" w:line="480" w:lineRule="exact"/>
        <w:jc w:val="left"/>
        <w:rPr>
          <w:rFonts w:hint="eastAsia" w:ascii="宋体" w:hAnsi="宋体"/>
          <w:b/>
          <w:color w:val="000000" w:themeColor="text1"/>
          <w:kern w:val="0"/>
          <w:sz w:val="24"/>
          <w:highlight w:val="none"/>
          <w14:textFill>
            <w14:solidFill>
              <w14:schemeClr w14:val="tx1"/>
            </w14:solidFill>
          </w14:textFill>
        </w:rPr>
      </w:pPr>
      <w:bookmarkStart w:id="59" w:name="_Toc144974534"/>
      <w:bookmarkEnd w:id="59"/>
      <w:bookmarkStart w:id="60" w:name="_Toc179632584"/>
      <w:bookmarkEnd w:id="60"/>
      <w:bookmarkStart w:id="61" w:name="_Toc292893128"/>
      <w:bookmarkEnd w:id="61"/>
      <w:bookmarkStart w:id="62" w:name="_Toc152045566"/>
      <w:bookmarkEnd w:id="62"/>
      <w:bookmarkStart w:id="63" w:name="_Toc152042342"/>
      <w:bookmarkEnd w:id="63"/>
      <w:r>
        <w:rPr>
          <w:rFonts w:hint="eastAsia" w:ascii="宋体" w:hAnsi="宋体"/>
          <w:b/>
          <w:color w:val="000000" w:themeColor="text1"/>
          <w:kern w:val="0"/>
          <w:sz w:val="24"/>
          <w:highlight w:val="none"/>
          <w14:textFill>
            <w14:solidFill>
              <w14:schemeClr w14:val="tx1"/>
            </w14:solidFill>
          </w14:textFill>
        </w:rPr>
        <w:t>29.合同授予</w:t>
      </w:r>
    </w:p>
    <w:p w14:paraId="5B525B11">
      <w:pPr>
        <w:tabs>
          <w:tab w:val="left" w:pos="540"/>
        </w:tabs>
        <w:spacing w:line="480" w:lineRule="exact"/>
        <w:ind w:firstLine="495"/>
        <w:jc w:val="left"/>
        <w:rPr>
          <w:rFonts w:hint="eastAsia" w:ascii="宋体" w:hAnsi="宋体"/>
          <w:color w:val="000000" w:themeColor="text1"/>
          <w:kern w:val="0"/>
          <w:sz w:val="24"/>
          <w:highlight w:val="none"/>
          <w14:textFill>
            <w14:solidFill>
              <w14:schemeClr w14:val="tx1"/>
            </w14:solidFill>
          </w14:textFill>
        </w:rPr>
      </w:pPr>
      <w:bookmarkStart w:id="64" w:name="_Toc144974535"/>
      <w:bookmarkEnd w:id="64"/>
      <w:bookmarkStart w:id="65" w:name="_Toc292893129"/>
      <w:bookmarkEnd w:id="65"/>
      <w:bookmarkStart w:id="66" w:name="_Toc152045567"/>
      <w:bookmarkEnd w:id="66"/>
      <w:bookmarkStart w:id="67" w:name="_Toc179632585"/>
      <w:bookmarkEnd w:id="67"/>
      <w:bookmarkStart w:id="68" w:name="_Toc152042343"/>
      <w:bookmarkEnd w:id="68"/>
      <w:r>
        <w:rPr>
          <w:rFonts w:hint="eastAsia" w:ascii="宋体" w:hAnsi="宋体"/>
          <w:color w:val="000000" w:themeColor="text1"/>
          <w:kern w:val="0"/>
          <w:sz w:val="24"/>
          <w:highlight w:val="none"/>
          <w14:textFill>
            <w14:solidFill>
              <w14:schemeClr w14:val="tx1"/>
            </w14:solidFill>
          </w14:textFill>
        </w:rPr>
        <w:t>29.1 定标方式：采购人据评标委员会推荐的中标候选供应商确定中标供应商。</w:t>
      </w:r>
    </w:p>
    <w:p w14:paraId="5988452B">
      <w:pPr>
        <w:tabs>
          <w:tab w:val="left" w:pos="540"/>
        </w:tabs>
        <w:spacing w:line="480" w:lineRule="exact"/>
        <w:ind w:firstLine="495"/>
        <w:jc w:val="left"/>
        <w:rPr>
          <w:rFonts w:hint="eastAsia" w:ascii="宋体" w:hAnsi="宋体"/>
          <w:color w:val="000000" w:themeColor="text1"/>
          <w:kern w:val="0"/>
          <w:sz w:val="24"/>
          <w:highlight w:val="none"/>
          <w14:textFill>
            <w14:solidFill>
              <w14:schemeClr w14:val="tx1"/>
            </w14:solidFill>
          </w14:textFill>
        </w:rPr>
      </w:pPr>
      <w:bookmarkStart w:id="69" w:name="_Toc292893130"/>
      <w:bookmarkStart w:id="70" w:name="_Toc179632586"/>
      <w:bookmarkStart w:id="71" w:name="_Toc144974536"/>
      <w:bookmarkStart w:id="72" w:name="_Toc152045568"/>
      <w:bookmarkStart w:id="73" w:name="_Toc152042344"/>
      <w:r>
        <w:rPr>
          <w:rFonts w:hint="eastAsia" w:ascii="宋体" w:hAnsi="宋体"/>
          <w:color w:val="000000" w:themeColor="text1"/>
          <w:kern w:val="0"/>
          <w:sz w:val="24"/>
          <w:highlight w:val="none"/>
          <w14:textFill>
            <w14:solidFill>
              <w14:schemeClr w14:val="tx1"/>
            </w14:solidFill>
          </w14:textFill>
        </w:rPr>
        <w:t>29.2 招标方在授予合同时有权根据具体情况对招标文件规定的货物数量和服务予以增加或减少,但不得对单价或其它的条款做任何改变。</w:t>
      </w:r>
    </w:p>
    <w:bookmarkEnd w:id="69"/>
    <w:bookmarkEnd w:id="70"/>
    <w:bookmarkEnd w:id="71"/>
    <w:bookmarkEnd w:id="72"/>
    <w:bookmarkEnd w:id="73"/>
    <w:p w14:paraId="6EDCD97B">
      <w:pPr>
        <w:spacing w:line="480" w:lineRule="exact"/>
        <w:ind w:firstLine="470" w:firstLineChars="196"/>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29.3 中标通知：在规定的投标有效期内，采购人以书面形式向中标供应商发出中标通知书，同时将中标结果通知未中标的供应商。中标供应商在收到通知书后24小时内，应予以书面确认。中标通知书将成为合同的组成部分。</w:t>
      </w:r>
    </w:p>
    <w:p w14:paraId="011DA09E">
      <w:pPr>
        <w:snapToGrid w:val="0"/>
        <w:spacing w:before="156" w:after="156" w:line="440" w:lineRule="exact"/>
        <w:jc w:val="left"/>
        <w:rPr>
          <w:rFonts w:hint="eastAsia" w:ascii="宋体" w:hAnsi="宋体"/>
          <w:b/>
          <w:color w:val="000000" w:themeColor="text1"/>
          <w:kern w:val="0"/>
          <w:sz w:val="24"/>
          <w:highlight w:val="none"/>
          <w14:textFill>
            <w14:solidFill>
              <w14:schemeClr w14:val="tx1"/>
            </w14:solidFill>
          </w14:textFill>
        </w:rPr>
      </w:pPr>
      <w:bookmarkStart w:id="74" w:name="_Toc179632588"/>
      <w:bookmarkEnd w:id="74"/>
      <w:bookmarkStart w:id="75" w:name="_Toc292893131"/>
      <w:bookmarkEnd w:id="75"/>
      <w:bookmarkStart w:id="76" w:name="_Toc152045570"/>
      <w:bookmarkEnd w:id="76"/>
      <w:bookmarkStart w:id="77" w:name="_Toc144974538"/>
      <w:bookmarkEnd w:id="77"/>
      <w:bookmarkStart w:id="78" w:name="_Toc152042346"/>
      <w:bookmarkEnd w:id="78"/>
      <w:r>
        <w:rPr>
          <w:rFonts w:hint="eastAsia" w:ascii="宋体" w:hAnsi="宋体"/>
          <w:b/>
          <w:color w:val="000000" w:themeColor="text1"/>
          <w:kern w:val="0"/>
          <w:sz w:val="24"/>
          <w:highlight w:val="none"/>
          <w14:textFill>
            <w14:solidFill>
              <w14:schemeClr w14:val="tx1"/>
            </w14:solidFill>
          </w14:textFill>
        </w:rPr>
        <w:t>30．签订合同</w:t>
      </w:r>
    </w:p>
    <w:p w14:paraId="1638B774">
      <w:pPr>
        <w:spacing w:line="480" w:lineRule="exact"/>
        <w:ind w:firstLine="470" w:firstLineChars="196"/>
        <w:rPr>
          <w:rFonts w:hint="eastAsia" w:ascii="宋体" w:hAnsi="宋体"/>
          <w:color w:val="000000" w:themeColor="text1"/>
          <w:kern w:val="0"/>
          <w:sz w:val="24"/>
          <w:highlight w:val="none"/>
          <w14:textFill>
            <w14:solidFill>
              <w14:schemeClr w14:val="tx1"/>
            </w14:solidFill>
          </w14:textFill>
        </w:rPr>
      </w:pPr>
      <w:bookmarkStart w:id="79" w:name="_Toc152045571"/>
      <w:bookmarkStart w:id="80" w:name="_Toc292893132"/>
      <w:bookmarkStart w:id="81" w:name="_Toc144974539"/>
      <w:bookmarkStart w:id="82" w:name="_Toc152042347"/>
      <w:bookmarkStart w:id="83" w:name="_Toc179632589"/>
      <w:r>
        <w:rPr>
          <w:rFonts w:hint="eastAsia" w:ascii="宋体" w:hAnsi="宋体"/>
          <w:color w:val="000000" w:themeColor="text1"/>
          <w:kern w:val="0"/>
          <w:sz w:val="24"/>
          <w:highlight w:val="none"/>
          <w14:textFill>
            <w14:solidFill>
              <w14:schemeClr w14:val="tx1"/>
            </w14:solidFill>
          </w14:textFill>
        </w:rPr>
        <w:t>30.1采购人和中标供应商应当自中标通知书发出之日起规定时间内，根据招标文件和中标供应商的投标文件订立书面合同。中标供应商无正当理由拒签合同的，采购人取消其中标资格；给采购人造成的损失的，中标供应商还应当对造成的损失的部分予以赔偿，同时依法承担相应法律责任。</w:t>
      </w:r>
    </w:p>
    <w:p w14:paraId="2ACB2693">
      <w:pPr>
        <w:spacing w:line="480" w:lineRule="exact"/>
        <w:ind w:firstLine="470" w:firstLineChars="196"/>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30.2发出中标通知书后，采购人无正当理由拒签合同的，给中标供应商造成损失的，还应当赔偿损失。</w:t>
      </w:r>
    </w:p>
    <w:bookmarkEnd w:id="79"/>
    <w:bookmarkEnd w:id="80"/>
    <w:bookmarkEnd w:id="81"/>
    <w:bookmarkEnd w:id="82"/>
    <w:bookmarkEnd w:id="83"/>
    <w:p w14:paraId="1AEE152B">
      <w:pPr>
        <w:snapToGrid w:val="0"/>
        <w:spacing w:before="156" w:after="156" w:line="440" w:lineRule="exact"/>
        <w:jc w:val="left"/>
        <w:rPr>
          <w:rFonts w:hint="eastAsia" w:ascii="宋体" w:hAnsi="宋体"/>
          <w:b/>
          <w:color w:val="000000" w:themeColor="text1"/>
          <w:kern w:val="0"/>
          <w:sz w:val="24"/>
          <w:highlight w:val="none"/>
          <w14:textFill>
            <w14:solidFill>
              <w14:schemeClr w14:val="tx1"/>
            </w14:solidFill>
          </w14:textFill>
        </w:rPr>
      </w:pPr>
      <w:r>
        <w:rPr>
          <w:rFonts w:hint="eastAsia" w:ascii="宋体" w:hAnsi="宋体"/>
          <w:b/>
          <w:color w:val="000000" w:themeColor="text1"/>
          <w:kern w:val="0"/>
          <w:sz w:val="24"/>
          <w:highlight w:val="none"/>
          <w14:textFill>
            <w14:solidFill>
              <w14:schemeClr w14:val="tx1"/>
            </w14:solidFill>
          </w14:textFill>
        </w:rPr>
        <w:t>31.中标服务费</w:t>
      </w:r>
    </w:p>
    <w:p w14:paraId="50F77F7C">
      <w:pPr>
        <w:spacing w:line="480" w:lineRule="exact"/>
        <w:ind w:firstLine="470" w:firstLineChars="196"/>
        <w:rPr>
          <w:rFonts w:hint="eastAsia" w:ascii="宋体" w:hAnsi="宋体"/>
          <w:color w:val="000000" w:themeColor="text1"/>
          <w:kern w:val="0"/>
          <w:sz w:val="24"/>
          <w:highlight w:val="none"/>
          <w14:textFill>
            <w14:solidFill>
              <w14:schemeClr w14:val="tx1"/>
            </w14:solidFill>
          </w14:textFill>
        </w:rPr>
      </w:pPr>
      <w:bookmarkStart w:id="84" w:name="_Toc179632592"/>
      <w:bookmarkStart w:id="85" w:name="_Toc144974542"/>
      <w:bookmarkStart w:id="86" w:name="_Toc292893133"/>
      <w:bookmarkStart w:id="87" w:name="_Toc152042350"/>
      <w:bookmarkStart w:id="88" w:name="_Toc152045574"/>
      <w:r>
        <w:rPr>
          <w:rFonts w:hint="eastAsia" w:ascii="宋体" w:hAnsi="宋体"/>
          <w:color w:val="000000" w:themeColor="text1"/>
          <w:kern w:val="0"/>
          <w:sz w:val="24"/>
          <w:highlight w:val="none"/>
          <w14:textFill>
            <w14:solidFill>
              <w14:schemeClr w14:val="tx1"/>
            </w14:solidFill>
          </w14:textFill>
        </w:rPr>
        <w:t>供应商如果中标，则参照豫招协《河南省招标代理服务收费指导意见》【2023】002号文规定，本项目代理服务费</w:t>
      </w:r>
      <w:r>
        <w:rPr>
          <w:rFonts w:hint="eastAsia" w:ascii="宋体" w:hAnsi="宋体"/>
          <w:color w:val="000000" w:themeColor="text1"/>
          <w:kern w:val="0"/>
          <w:sz w:val="24"/>
          <w:highlight w:val="none"/>
          <w:lang w:val="en-US" w:eastAsia="zh-CN"/>
          <w14:textFill>
            <w14:solidFill>
              <w14:schemeClr w14:val="tx1"/>
            </w14:solidFill>
          </w14:textFill>
        </w:rPr>
        <w:t>10000.00</w:t>
      </w:r>
      <w:r>
        <w:rPr>
          <w:rFonts w:hint="eastAsia" w:ascii="宋体" w:hAnsi="宋体"/>
          <w:color w:val="000000" w:themeColor="text1"/>
          <w:kern w:val="0"/>
          <w:sz w:val="24"/>
          <w:highlight w:val="none"/>
          <w14:textFill>
            <w14:solidFill>
              <w14:schemeClr w14:val="tx1"/>
            </w14:solidFill>
          </w14:textFill>
        </w:rPr>
        <w:t>元，中标人向河南荣之鑫工程管理有限公司一次性交清本次项目招标代理服务费。</w:t>
      </w:r>
    </w:p>
    <w:bookmarkEnd w:id="84"/>
    <w:bookmarkEnd w:id="85"/>
    <w:bookmarkEnd w:id="86"/>
    <w:bookmarkEnd w:id="87"/>
    <w:bookmarkEnd w:id="88"/>
    <w:p w14:paraId="336F76ED">
      <w:pPr>
        <w:snapToGrid w:val="0"/>
        <w:spacing w:before="156" w:after="156" w:line="440" w:lineRule="exact"/>
        <w:jc w:val="left"/>
        <w:rPr>
          <w:rFonts w:hint="eastAsia" w:ascii="宋体" w:hAnsi="宋体"/>
          <w:b/>
          <w:color w:val="000000" w:themeColor="text1"/>
          <w:kern w:val="0"/>
          <w:sz w:val="24"/>
          <w:highlight w:val="none"/>
          <w14:textFill>
            <w14:solidFill>
              <w14:schemeClr w14:val="tx1"/>
            </w14:solidFill>
          </w14:textFill>
        </w:rPr>
      </w:pPr>
      <w:r>
        <w:rPr>
          <w:rFonts w:hint="eastAsia" w:ascii="宋体" w:hAnsi="宋体"/>
          <w:b/>
          <w:color w:val="000000" w:themeColor="text1"/>
          <w:kern w:val="0"/>
          <w:sz w:val="24"/>
          <w:highlight w:val="none"/>
          <w14:textFill>
            <w14:solidFill>
              <w14:schemeClr w14:val="tx1"/>
            </w14:solidFill>
          </w14:textFill>
        </w:rPr>
        <w:t>32.纪律和监督</w:t>
      </w:r>
    </w:p>
    <w:p w14:paraId="3ECBC005">
      <w:pPr>
        <w:spacing w:line="440" w:lineRule="exact"/>
        <w:ind w:firstLine="480" w:firstLineChars="200"/>
        <w:rPr>
          <w:rFonts w:hint="eastAsia" w:ascii="宋体" w:hAnsi="宋体"/>
          <w:color w:val="000000" w:themeColor="text1"/>
          <w:kern w:val="0"/>
          <w:sz w:val="24"/>
          <w:highlight w:val="none"/>
          <w14:textFill>
            <w14:solidFill>
              <w14:schemeClr w14:val="tx1"/>
            </w14:solidFill>
          </w14:textFill>
        </w:rPr>
      </w:pPr>
      <w:bookmarkStart w:id="89" w:name="_Toc144974543"/>
      <w:bookmarkEnd w:id="89"/>
      <w:bookmarkStart w:id="90" w:name="_Toc152042351"/>
      <w:bookmarkEnd w:id="90"/>
      <w:bookmarkStart w:id="91" w:name="_Toc152045575"/>
      <w:bookmarkEnd w:id="91"/>
      <w:bookmarkStart w:id="92" w:name="_Toc292893134"/>
      <w:bookmarkEnd w:id="92"/>
      <w:bookmarkStart w:id="93" w:name="_Toc179632593"/>
      <w:bookmarkEnd w:id="93"/>
      <w:r>
        <w:rPr>
          <w:rFonts w:hint="eastAsia" w:ascii="宋体" w:hAnsi="宋体"/>
          <w:color w:val="000000" w:themeColor="text1"/>
          <w:kern w:val="0"/>
          <w:sz w:val="24"/>
          <w:highlight w:val="none"/>
          <w14:textFill>
            <w14:solidFill>
              <w14:schemeClr w14:val="tx1"/>
            </w14:solidFill>
          </w14:textFill>
        </w:rPr>
        <w:t>32.1对采购人的纪律要求：采购人不得泄漏招标投标活动中应当保密的情况和资料，不得与供应商串通损害国家利益、社会公共利益或者他人合法权益。</w:t>
      </w:r>
    </w:p>
    <w:p w14:paraId="708DBA49">
      <w:pPr>
        <w:spacing w:line="440" w:lineRule="exact"/>
        <w:ind w:firstLine="480" w:firstLineChars="200"/>
        <w:rPr>
          <w:rFonts w:hint="eastAsia" w:ascii="宋体" w:hAnsi="宋体"/>
          <w:color w:val="000000" w:themeColor="text1"/>
          <w:kern w:val="0"/>
          <w:sz w:val="24"/>
          <w:highlight w:val="none"/>
          <w14:textFill>
            <w14:solidFill>
              <w14:schemeClr w14:val="tx1"/>
            </w14:solidFill>
          </w14:textFill>
        </w:rPr>
      </w:pPr>
      <w:bookmarkStart w:id="94" w:name="_Toc144974544"/>
      <w:bookmarkEnd w:id="94"/>
      <w:bookmarkStart w:id="95" w:name="_Toc152042352"/>
      <w:bookmarkEnd w:id="95"/>
      <w:bookmarkStart w:id="96" w:name="_Toc152045576"/>
      <w:bookmarkEnd w:id="96"/>
      <w:bookmarkStart w:id="97" w:name="_Toc179632594"/>
      <w:bookmarkEnd w:id="97"/>
      <w:bookmarkStart w:id="98" w:name="_Toc292893135"/>
      <w:bookmarkEnd w:id="98"/>
      <w:bookmarkStart w:id="99" w:name="_Toc179632595"/>
      <w:bookmarkStart w:id="100" w:name="_Toc292893136"/>
      <w:bookmarkStart w:id="101" w:name="_Toc152042353"/>
      <w:bookmarkStart w:id="102" w:name="_Toc152045577"/>
      <w:bookmarkStart w:id="103" w:name="_Toc144974545"/>
      <w:r>
        <w:rPr>
          <w:rFonts w:hint="eastAsia" w:ascii="宋体" w:hAnsi="宋体"/>
          <w:color w:val="000000" w:themeColor="text1"/>
          <w:kern w:val="0"/>
          <w:sz w:val="24"/>
          <w:highlight w:val="none"/>
          <w14:textFill>
            <w14:solidFill>
              <w14:schemeClr w14:val="tx1"/>
            </w14:solidFill>
          </w14:textFill>
        </w:rPr>
        <w:t>32.2 对供应商的纪律要求：供应商不得相互串通投标或者与采购人串通投标，不得向采购人或者评标委员会成员行贿谋取中标，不得以他人名义投标或者以其他方式弄虚作假骗取中标；供应商不得以任何方式干扰、影响评标工作。如发现供应商有上述不正当行为，将取消其投标资格或中标资格。</w:t>
      </w:r>
    </w:p>
    <w:bookmarkEnd w:id="99"/>
    <w:bookmarkEnd w:id="100"/>
    <w:bookmarkEnd w:id="101"/>
    <w:bookmarkEnd w:id="102"/>
    <w:bookmarkEnd w:id="103"/>
    <w:p w14:paraId="4C39FEF8">
      <w:pPr>
        <w:spacing w:line="440" w:lineRule="exact"/>
        <w:ind w:firstLine="480" w:firstLineChars="200"/>
        <w:rPr>
          <w:rFonts w:hint="eastAsia" w:ascii="宋体" w:hAnsi="宋体"/>
          <w:color w:val="000000" w:themeColor="text1"/>
          <w:kern w:val="0"/>
          <w:sz w:val="24"/>
          <w:highlight w:val="none"/>
          <w14:textFill>
            <w14:solidFill>
              <w14:schemeClr w14:val="tx1"/>
            </w14:solidFill>
          </w14:textFill>
        </w:rPr>
      </w:pPr>
      <w:r>
        <w:rPr>
          <w:rFonts w:hint="eastAsia" w:ascii="宋体" w:hAnsi="宋体"/>
          <w:color w:val="000000" w:themeColor="text1"/>
          <w:kern w:val="0"/>
          <w:sz w:val="24"/>
          <w:highlight w:val="none"/>
          <w14:textFill>
            <w14:solidFill>
              <w14:schemeClr w14:val="tx1"/>
            </w14:solidFill>
          </w14:textFill>
        </w:rPr>
        <w:t>32.3 对评标委员会成员的纪律要求：评标委员会成员不得收受他人的财物或者其他好处，不得向他人透漏对投标文件的评审和比较、中标候选供应商的推荐情况以及评标有关的其他情况。在评标活动中，评标委员会成员不得擅离职守，影响评标程序正常进行，不得使用评标办法没有规定的评审因素和标准进行评标。</w:t>
      </w:r>
    </w:p>
    <w:p w14:paraId="0D9DF354">
      <w:pPr>
        <w:spacing w:line="440" w:lineRule="exact"/>
        <w:ind w:firstLine="480" w:firstLineChars="200"/>
        <w:rPr>
          <w:rFonts w:hint="eastAsia" w:ascii="宋体" w:hAnsi="宋体"/>
          <w:color w:val="000000" w:themeColor="text1"/>
          <w:kern w:val="0"/>
          <w:sz w:val="24"/>
          <w:highlight w:val="none"/>
          <w14:textFill>
            <w14:solidFill>
              <w14:schemeClr w14:val="tx1"/>
            </w14:solidFill>
          </w14:textFill>
        </w:rPr>
      </w:pPr>
      <w:bookmarkStart w:id="104" w:name="_Toc179632596"/>
      <w:bookmarkEnd w:id="104"/>
      <w:bookmarkStart w:id="105" w:name="_Toc152042355"/>
      <w:bookmarkEnd w:id="105"/>
      <w:bookmarkStart w:id="106" w:name="_Toc152045578"/>
      <w:bookmarkEnd w:id="106"/>
      <w:bookmarkStart w:id="107" w:name="_Toc144974546"/>
      <w:bookmarkEnd w:id="107"/>
      <w:bookmarkStart w:id="108" w:name="_Toc152042354"/>
      <w:bookmarkEnd w:id="108"/>
      <w:bookmarkStart w:id="109" w:name="_Toc292893137"/>
      <w:bookmarkEnd w:id="109"/>
      <w:r>
        <w:rPr>
          <w:rFonts w:hint="eastAsia" w:ascii="宋体" w:hAnsi="宋体"/>
          <w:color w:val="000000" w:themeColor="text1"/>
          <w:kern w:val="0"/>
          <w:sz w:val="24"/>
          <w:highlight w:val="none"/>
          <w14:textFill>
            <w14:solidFill>
              <w14:schemeClr w14:val="tx1"/>
            </w14:solidFill>
          </w14:textFill>
        </w:rPr>
        <w:t>32.4 对与评标活动有关的工作人员的纪律要求：与评标活动有关的工作人员不得收受他人的财物或者其他好处，不得向他人透漏对投标文件的评审和比较、中标候选供应商的推荐情况以及评标有关的其他情况。在评标活动中，与评标活动有关的工作人员不得擅离职守，影响评标程序正常进行。</w:t>
      </w:r>
    </w:p>
    <w:p w14:paraId="37A41721">
      <w:pPr>
        <w:snapToGrid w:val="0"/>
        <w:spacing w:before="156" w:after="156" w:line="440" w:lineRule="exact"/>
        <w:jc w:val="left"/>
        <w:rPr>
          <w:rFonts w:hint="eastAsia" w:ascii="宋体" w:hAnsi="宋体"/>
          <w:b/>
          <w:color w:val="000000" w:themeColor="text1"/>
          <w:kern w:val="0"/>
          <w:sz w:val="24"/>
          <w:highlight w:val="none"/>
          <w14:textFill>
            <w14:solidFill>
              <w14:schemeClr w14:val="tx1"/>
            </w14:solidFill>
          </w14:textFill>
        </w:rPr>
      </w:pPr>
      <w:r>
        <w:rPr>
          <w:rFonts w:hint="eastAsia" w:ascii="宋体" w:hAnsi="宋体"/>
          <w:b/>
          <w:color w:val="000000" w:themeColor="text1"/>
          <w:kern w:val="0"/>
          <w:sz w:val="24"/>
          <w:highlight w:val="none"/>
          <w14:textFill>
            <w14:solidFill>
              <w14:schemeClr w14:val="tx1"/>
            </w14:solidFill>
          </w14:textFill>
        </w:rPr>
        <w:t>33.需要补充的其他内容（见供应商须知前附表）</w:t>
      </w:r>
    </w:p>
    <w:bookmarkEnd w:id="58"/>
    <w:p w14:paraId="19426414">
      <w:pPr>
        <w:pStyle w:val="33"/>
        <w:spacing w:before="100" w:after="100" w:line="360" w:lineRule="auto"/>
        <w:jc w:val="center"/>
        <w:rPr>
          <w:rFonts w:hint="eastAsia" w:ascii="宋体" w:hAnsi="宋体"/>
          <w:b w:val="0"/>
          <w:color w:val="000000" w:themeColor="text1"/>
          <w:kern w:val="0"/>
          <w:sz w:val="24"/>
          <w:highlight w:val="none"/>
          <w14:textFill>
            <w14:solidFill>
              <w14:schemeClr w14:val="tx1"/>
            </w14:solidFill>
          </w14:textFill>
        </w:rPr>
      </w:pPr>
      <w:r>
        <w:rPr>
          <w:rFonts w:hint="eastAsia" w:ascii="宋体" w:hAnsi="宋体"/>
          <w:b w:val="0"/>
          <w:color w:val="000000" w:themeColor="text1"/>
          <w:kern w:val="0"/>
          <w:sz w:val="24"/>
          <w:highlight w:val="none"/>
          <w14:textFill>
            <w14:solidFill>
              <w14:schemeClr w14:val="tx1"/>
            </w14:solidFill>
          </w14:textFill>
        </w:rPr>
        <w:br w:type="page"/>
      </w:r>
      <w:bookmarkStart w:id="110" w:name="_Toc29838"/>
      <w:r>
        <w:rPr>
          <w:rFonts w:hint="eastAsia" w:ascii="宋体" w:hAnsi="宋体"/>
          <w:color w:val="000000" w:themeColor="text1"/>
          <w:sz w:val="36"/>
          <w:szCs w:val="36"/>
          <w:highlight w:val="none"/>
          <w14:textFill>
            <w14:solidFill>
              <w14:schemeClr w14:val="tx1"/>
            </w14:solidFill>
          </w14:textFill>
        </w:rPr>
        <w:t>第三章  评标办法</w:t>
      </w:r>
      <w:bookmarkEnd w:id="110"/>
    </w:p>
    <w:p w14:paraId="38E03F2C">
      <w:pPr>
        <w:snapToGrid w:val="0"/>
        <w:spacing w:before="156" w:after="156" w:line="420" w:lineRule="exact"/>
        <w:ind w:firstLine="480" w:firstLineChars="200"/>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一、评标、定标原则</w:t>
      </w:r>
    </w:p>
    <w:p w14:paraId="7D8BF90D">
      <w:pPr>
        <w:snapToGrid w:val="0"/>
        <w:spacing w:line="48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按照</w:t>
      </w:r>
      <w:r>
        <w:rPr>
          <w:rFonts w:hint="eastAsia" w:ascii="宋体" w:hAnsi="宋体" w:eastAsia="宋体" w:cs="宋体"/>
          <w:sz w:val="24"/>
          <w:highlight w:val="none"/>
        </w:rPr>
        <w:t>《中华人民共和国政府采购法》</w:t>
      </w:r>
      <w:r>
        <w:rPr>
          <w:rFonts w:hint="eastAsia" w:ascii="宋体" w:hAnsi="宋体" w:eastAsia="宋体" w:cs="宋体"/>
          <w:sz w:val="24"/>
          <w:highlight w:val="none"/>
          <w:lang w:eastAsia="zh-CN"/>
        </w:rPr>
        <w:t>、</w:t>
      </w:r>
      <w:r>
        <w:rPr>
          <w:rFonts w:hint="eastAsia" w:ascii="宋体" w:hAnsi="宋体" w:eastAsia="宋体" w:cs="宋体"/>
          <w:kern w:val="0"/>
          <w:sz w:val="24"/>
          <w:highlight w:val="none"/>
        </w:rPr>
        <w:t>《政府采购货物和服务招标投标管理办法》</w:t>
      </w:r>
      <w:r>
        <w:rPr>
          <w:rFonts w:hint="eastAsia" w:ascii="宋体" w:hAnsi="宋体" w:eastAsia="宋体" w:cs="宋体"/>
          <w:sz w:val="24"/>
          <w:highlight w:val="none"/>
        </w:rPr>
        <w:t>和七部委联合下发的《评标委员会和评标方法暂行规定》</w:t>
      </w:r>
      <w:r>
        <w:rPr>
          <w:rFonts w:hint="eastAsia" w:ascii="宋体" w:hAnsi="宋体"/>
          <w:color w:val="000000" w:themeColor="text1"/>
          <w:sz w:val="24"/>
          <w:highlight w:val="none"/>
          <w14:textFill>
            <w14:solidFill>
              <w14:schemeClr w14:val="tx1"/>
            </w14:solidFill>
          </w14:textFill>
        </w:rPr>
        <w:t>等的有关规定，坚持公开、公平、公正、诚实、守信、科学、择优的原则，反对不正当竞争。</w:t>
      </w:r>
    </w:p>
    <w:p w14:paraId="6EE5D7D9">
      <w:pPr>
        <w:snapToGrid w:val="0"/>
        <w:spacing w:before="156" w:after="156" w:line="420" w:lineRule="exact"/>
        <w:ind w:firstLine="480" w:firstLineChars="200"/>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二、评标监督：由相关行政主管部门对招投标全过程进行监督。</w:t>
      </w:r>
    </w:p>
    <w:p w14:paraId="7AF64BB7">
      <w:pPr>
        <w:snapToGrid w:val="0"/>
        <w:spacing w:before="156" w:after="156" w:line="440" w:lineRule="exact"/>
        <w:ind w:firstLine="480" w:firstLineChars="200"/>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三、评标委员会</w:t>
      </w:r>
      <w:r>
        <w:rPr>
          <w:rFonts w:hint="eastAsia" w:ascii="宋体" w:hAnsi="宋体"/>
          <w:color w:val="000000" w:themeColor="text1"/>
          <w:sz w:val="24"/>
          <w:szCs w:val="24"/>
          <w:highlight w:val="none"/>
          <w14:textFill>
            <w14:solidFill>
              <w14:schemeClr w14:val="tx1"/>
            </w14:solidFill>
          </w14:textFill>
        </w:rPr>
        <w:t>：本项目评标委员会由采购人代表和评审专家组成，成员人数应当为5人以上单数，其中评审专家不得少于成员总人数的三分之二,在招标监督部门的监督下，从评标专家库中随机抽取。评标委员会根据本项目招标文件的评定标办法独立完成评标工作，任何人不得干预评委的正常评标工作。</w:t>
      </w:r>
    </w:p>
    <w:p w14:paraId="7BBCFDC9">
      <w:pPr>
        <w:snapToGrid w:val="0"/>
        <w:spacing w:before="156" w:after="156" w:line="420" w:lineRule="exact"/>
        <w:ind w:firstLine="480" w:firstLineChars="200"/>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四、评标纪律：（评标现场宣读）</w:t>
      </w:r>
    </w:p>
    <w:p w14:paraId="262B9B84">
      <w:pPr>
        <w:snapToGrid w:val="0"/>
        <w:spacing w:before="156" w:after="156" w:line="420" w:lineRule="exact"/>
        <w:ind w:firstLine="480" w:firstLineChars="200"/>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五、评标规则：</w:t>
      </w:r>
      <w:r>
        <w:rPr>
          <w:rFonts w:hint="eastAsia" w:ascii="宋体" w:hAnsi="宋体"/>
          <w:color w:val="000000" w:themeColor="text1"/>
          <w:sz w:val="24"/>
          <w:szCs w:val="24"/>
          <w:highlight w:val="none"/>
          <w14:textFill>
            <w14:solidFill>
              <w14:schemeClr w14:val="tx1"/>
            </w14:solidFill>
          </w14:textFill>
        </w:rPr>
        <w:t>采取百分制对各投标文件进行评审，计分过程按四舍五入取至小数点后两位，当出现并列时，保留至小数点后三位。具体评标过程分为两个阶段：</w:t>
      </w:r>
    </w:p>
    <w:p w14:paraId="73FFFD9E">
      <w:pPr>
        <w:snapToGrid w:val="0"/>
        <w:spacing w:before="156" w:after="156" w:line="420" w:lineRule="exact"/>
        <w:ind w:firstLine="480" w:firstLineChars="200"/>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1．初步评审</w:t>
      </w:r>
    </w:p>
    <w:p w14:paraId="329B2F7A">
      <w:pPr>
        <w:snapToGrid w:val="0"/>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评委会首先按招标文件要求对</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的投标文件进行符合性评审。确认其投标文件是否实质上响应了招标文件的要求，对实质上响应招标文件要求的投标文件进行下一步评审。</w:t>
      </w:r>
    </w:p>
    <w:p w14:paraId="71CCFE2F">
      <w:pPr>
        <w:snapToGrid w:val="0"/>
        <w:spacing w:before="156" w:after="156" w:line="420" w:lineRule="exact"/>
        <w:ind w:firstLine="480" w:firstLineChars="200"/>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2．细微偏差不影响投标文件的有效性</w:t>
      </w:r>
    </w:p>
    <w:p w14:paraId="426B16FC">
      <w:pPr>
        <w:snapToGrid w:val="0"/>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细微偏差是指投标文件在实质上响应招标文件要求，但个别地方存在漏项或者提供不了完整的技术信息和数据等情况，并且补正这些遗漏或者不完整不会对其他</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造成不公平的结果。如投标文件中数字大写和小写不一致的，以大写为准。</w:t>
      </w:r>
    </w:p>
    <w:p w14:paraId="6EF20AAB">
      <w:pPr>
        <w:snapToGrid w:val="0"/>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对于实质上符合招标文件要求的投标文件，采购人将对其投标文件的细微偏差进行校核。并对算数上和累积运算上的差错给与修正，这种修整应取得</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的同意并确认修正后的最终结果。如果</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拒绝确认，则其投标文件将不予评审。</w:t>
      </w:r>
    </w:p>
    <w:p w14:paraId="5E42B646">
      <w:pPr>
        <w:snapToGrid w:val="0"/>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评标委员会不对无效标评审。评标委员会不接受</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在投标文件递交截止时间之后主动进行的一切修正或撤销其不符合要求的偏差。</w:t>
      </w:r>
    </w:p>
    <w:p w14:paraId="2D124F9D">
      <w:pPr>
        <w:snapToGrid w:val="0"/>
        <w:spacing w:before="156" w:after="156" w:line="420" w:lineRule="exact"/>
        <w:ind w:firstLine="480" w:firstLineChars="200"/>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3．详细评审</w:t>
      </w:r>
    </w:p>
    <w:p w14:paraId="74EE61A0">
      <w:pPr>
        <w:snapToGrid w:val="0"/>
        <w:spacing w:line="44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经初步评审合格的投标文件，评标委员会根据招标文件确定的评标标准和方法，对其投标文件做进一步评审与比较。</w:t>
      </w:r>
    </w:p>
    <w:p w14:paraId="519B5747">
      <w:pPr>
        <w:snapToGrid w:val="0"/>
        <w:spacing w:before="156" w:after="156" w:line="440" w:lineRule="exact"/>
        <w:ind w:firstLine="480" w:firstLineChars="200"/>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4．评标保密</w:t>
      </w:r>
    </w:p>
    <w:p w14:paraId="3E0C8B56">
      <w:pPr>
        <w:snapToGrid w:val="0"/>
        <w:spacing w:line="44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在确认中标供应商之前，凡属于投标文件的审查、澄清、评价和比较及有关授予合同的信息，凡参与评标的所有人员都不得向</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或与该过程无公务关系的其他人泄露。如果</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试图对采购人的评标过程或定标决定施加影响，则会导致其投标文件被拒绝。</w:t>
      </w:r>
    </w:p>
    <w:p w14:paraId="1A53AC6B">
      <w:pPr>
        <w:snapToGrid w:val="0"/>
        <w:spacing w:before="156" w:after="156" w:line="440" w:lineRule="exact"/>
        <w:ind w:firstLine="480" w:firstLineChars="200"/>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5．评标结果</w:t>
      </w:r>
    </w:p>
    <w:p w14:paraId="55FFAD51">
      <w:pPr>
        <w:snapToGrid w:val="0"/>
        <w:spacing w:line="44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评标委员会每位成员根据评标办法和标准，对所有投标文件进行集中审核分别打分后。各评委评分的算术平均值作为该</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的最终得分，计分取至小数点后两位，计分过程中小数点后第三位四舍五入。</w:t>
      </w:r>
    </w:p>
    <w:p w14:paraId="296FB536">
      <w:pPr>
        <w:snapToGrid w:val="0"/>
        <w:spacing w:before="156" w:after="156" w:line="440" w:lineRule="exact"/>
        <w:ind w:firstLine="480" w:firstLineChars="200"/>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6．定标</w:t>
      </w:r>
    </w:p>
    <w:p w14:paraId="7BB9A8D8">
      <w:pPr>
        <w:snapToGrid w:val="0"/>
        <w:spacing w:line="44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评标委员会将向采购人提交评标报告，并按照得分高低的顺序向采购人推荐排序前三名为中标候选供应商，采购人应当接受评标委员会推荐的中标候选供应商，不得在评标委员会推荐的中标候选供应商之外确定中标供应商。排名第一的中标候选供应商因不可抗力放弃中标或提出不能履行合同，采购人可依次确定排名第二或第三的中标候选供应商为中标供应商,也可以重新开展政府采购活动。</w:t>
      </w:r>
    </w:p>
    <w:p w14:paraId="4CF39CC2">
      <w:pPr>
        <w:snapToGrid w:val="0"/>
        <w:spacing w:before="156" w:after="156" w:line="440" w:lineRule="exact"/>
        <w:ind w:firstLine="480" w:firstLineChars="200"/>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7.评标的标准如下</w:t>
      </w:r>
    </w:p>
    <w:p w14:paraId="6D45E04C">
      <w:pPr>
        <w:snapToGrid w:val="0"/>
        <w:spacing w:line="440" w:lineRule="exact"/>
        <w:ind w:firstLine="480" w:firstLineChars="200"/>
        <w:rPr>
          <w:rFonts w:hint="eastAsia" w:ascii="宋体" w:hAnsi="宋体"/>
          <w:color w:val="000000" w:themeColor="text1"/>
          <w:sz w:val="24"/>
          <w:szCs w:val="24"/>
          <w:highlight w:val="none"/>
          <w14:textFill>
            <w14:solidFill>
              <w14:schemeClr w14:val="tx1"/>
            </w14:solidFill>
          </w14:textFill>
        </w:rPr>
      </w:pPr>
      <w:bookmarkStart w:id="111" w:name="_Toc318932195"/>
      <w:r>
        <w:rPr>
          <w:rFonts w:hint="eastAsia" w:ascii="宋体" w:hAnsi="宋体"/>
          <w:color w:val="000000" w:themeColor="text1"/>
          <w:sz w:val="24"/>
          <w:szCs w:val="24"/>
          <w:highlight w:val="none"/>
          <w14:textFill>
            <w14:solidFill>
              <w14:schemeClr w14:val="tx1"/>
            </w14:solidFill>
          </w14:textFill>
        </w:rPr>
        <w:t>评标委员会对初审后满足招标文件实质性要求的投标文件，按照本评分标准进行打分，并按得分由高到低顺序推荐3名中标候选供应商。综合评分相等时，以投标报价低的优先。</w:t>
      </w:r>
    </w:p>
    <w:p w14:paraId="2409B062">
      <w:pPr>
        <w:rPr>
          <w:rFonts w:hint="eastAsia"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br w:type="page"/>
      </w:r>
    </w:p>
    <w:tbl>
      <w:tblPr>
        <w:tblStyle w:val="22"/>
        <w:tblW w:w="927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1273"/>
        <w:gridCol w:w="6819"/>
      </w:tblGrid>
      <w:tr w14:paraId="12F9C9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451" w:type="dxa"/>
            <w:gridSpan w:val="2"/>
            <w:tcBorders>
              <w:tl2br w:val="nil"/>
              <w:tr2bl w:val="nil"/>
            </w:tcBorders>
            <w:vAlign w:val="center"/>
          </w:tcPr>
          <w:p w14:paraId="28622888">
            <w:pPr>
              <w:pStyle w:val="32"/>
              <w:keepNext w:val="0"/>
              <w:keepLines w:val="0"/>
              <w:pageBreakBefore w:val="0"/>
              <w:kinsoku/>
              <w:wordWrap/>
              <w:overflowPunct/>
              <w:topLinePunct w:val="0"/>
              <w:bidi w:val="0"/>
              <w:spacing w:line="440" w:lineRule="exact"/>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分值构成(总分100分)</w:t>
            </w:r>
          </w:p>
        </w:tc>
        <w:tc>
          <w:tcPr>
            <w:tcW w:w="6819" w:type="dxa"/>
            <w:tcBorders>
              <w:tl2br w:val="nil"/>
              <w:tr2bl w:val="nil"/>
            </w:tcBorders>
            <w:vAlign w:val="center"/>
          </w:tcPr>
          <w:p w14:paraId="0B5B1D93">
            <w:pPr>
              <w:pStyle w:val="32"/>
              <w:keepNext w:val="0"/>
              <w:keepLines w:val="0"/>
              <w:pageBreakBefore w:val="0"/>
              <w:kinsoku/>
              <w:wordWrap/>
              <w:overflowPunct/>
              <w:topLinePunct w:val="0"/>
              <w:bidi w:val="0"/>
              <w:spacing w:line="440" w:lineRule="exact"/>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投标报价：30分</w:t>
            </w:r>
          </w:p>
          <w:p w14:paraId="3CAD5152">
            <w:pPr>
              <w:pStyle w:val="32"/>
              <w:keepNext w:val="0"/>
              <w:keepLines w:val="0"/>
              <w:pageBreakBefore w:val="0"/>
              <w:kinsoku/>
              <w:wordWrap/>
              <w:overflowPunct/>
              <w:topLinePunct w:val="0"/>
              <w:bidi w:val="0"/>
              <w:spacing w:line="440" w:lineRule="exact"/>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技术部分：</w:t>
            </w:r>
            <w:r>
              <w:rPr>
                <w:rFonts w:hint="eastAsia" w:ascii="宋体" w:hAnsi="宋体" w:eastAsia="宋体" w:cs="宋体"/>
                <w:b/>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b/>
                <w:color w:val="000000" w:themeColor="text1"/>
                <w:sz w:val="21"/>
                <w:szCs w:val="21"/>
                <w:highlight w:val="none"/>
                <w14:textFill>
                  <w14:solidFill>
                    <w14:schemeClr w14:val="tx1"/>
                  </w14:solidFill>
                </w14:textFill>
              </w:rPr>
              <w:t>分</w:t>
            </w:r>
          </w:p>
          <w:p w14:paraId="0BE49930">
            <w:pPr>
              <w:pStyle w:val="32"/>
              <w:keepNext w:val="0"/>
              <w:keepLines w:val="0"/>
              <w:pageBreakBefore w:val="0"/>
              <w:kinsoku/>
              <w:wordWrap/>
              <w:overflowPunct/>
              <w:topLinePunct w:val="0"/>
              <w:bidi w:val="0"/>
              <w:spacing w:line="440" w:lineRule="exact"/>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综合部分：</w:t>
            </w:r>
            <w:r>
              <w:rPr>
                <w:rFonts w:hint="eastAsia" w:ascii="宋体" w:hAnsi="宋体" w:eastAsia="宋体" w:cs="宋体"/>
                <w:b/>
                <w:color w:val="000000" w:themeColor="text1"/>
                <w:sz w:val="21"/>
                <w:szCs w:val="21"/>
                <w:highlight w:val="none"/>
                <w:lang w:val="en-US" w:eastAsia="zh-CN"/>
                <w14:textFill>
                  <w14:solidFill>
                    <w14:schemeClr w14:val="tx1"/>
                  </w14:solidFill>
                </w14:textFill>
              </w:rPr>
              <w:t>40</w:t>
            </w:r>
            <w:r>
              <w:rPr>
                <w:rFonts w:hint="eastAsia" w:ascii="宋体" w:hAnsi="宋体" w:eastAsia="宋体" w:cs="宋体"/>
                <w:b/>
                <w:color w:val="000000" w:themeColor="text1"/>
                <w:sz w:val="21"/>
                <w:szCs w:val="21"/>
                <w:highlight w:val="none"/>
                <w14:textFill>
                  <w14:solidFill>
                    <w14:schemeClr w14:val="tx1"/>
                  </w14:solidFill>
                </w14:textFill>
              </w:rPr>
              <w:t>分</w:t>
            </w:r>
          </w:p>
        </w:tc>
      </w:tr>
      <w:tr w14:paraId="1A0ACE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51" w:type="dxa"/>
            <w:gridSpan w:val="2"/>
            <w:tcBorders>
              <w:tl2br w:val="nil"/>
              <w:tr2bl w:val="nil"/>
            </w:tcBorders>
            <w:vAlign w:val="center"/>
          </w:tcPr>
          <w:p w14:paraId="11A0EA84">
            <w:pPr>
              <w:pStyle w:val="32"/>
              <w:keepNext w:val="0"/>
              <w:keepLines w:val="0"/>
              <w:pageBreakBefore w:val="0"/>
              <w:kinsoku/>
              <w:wordWrap/>
              <w:overflowPunct/>
              <w:topLinePunct w:val="0"/>
              <w:bidi w:val="0"/>
              <w:spacing w:line="440" w:lineRule="exact"/>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投标报价</w:t>
            </w:r>
          </w:p>
          <w:p w14:paraId="261F6C5F">
            <w:pPr>
              <w:pStyle w:val="32"/>
              <w:keepNext w:val="0"/>
              <w:keepLines w:val="0"/>
              <w:pageBreakBefore w:val="0"/>
              <w:kinsoku/>
              <w:wordWrap/>
              <w:overflowPunct/>
              <w:topLinePunct w:val="0"/>
              <w:bidi w:val="0"/>
              <w:spacing w:line="440" w:lineRule="exact"/>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（30分）</w:t>
            </w:r>
          </w:p>
        </w:tc>
        <w:tc>
          <w:tcPr>
            <w:tcW w:w="6819" w:type="dxa"/>
            <w:tcBorders>
              <w:tl2br w:val="nil"/>
              <w:tr2bl w:val="nil"/>
            </w:tcBorders>
          </w:tcPr>
          <w:p w14:paraId="26262E08">
            <w:pPr>
              <w:pStyle w:val="20"/>
              <w:keepNext w:val="0"/>
              <w:keepLines w:val="0"/>
              <w:pageBreakBefore w:val="0"/>
              <w:kinsoku/>
              <w:wordWrap/>
              <w:overflowPunct/>
              <w:topLinePunct w:val="0"/>
              <w:bidi w:val="0"/>
              <w:spacing w:after="0" w:line="440" w:lineRule="exact"/>
              <w:ind w:firstLine="0" w:firstLineChars="0"/>
              <w:jc w:val="left"/>
              <w:textAlignment w:val="auto"/>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评标基准值=有效供应商的最低投标报价。</w:t>
            </w:r>
          </w:p>
          <w:p w14:paraId="7C90FEEA">
            <w:pPr>
              <w:pStyle w:val="20"/>
              <w:keepNext w:val="0"/>
              <w:keepLines w:val="0"/>
              <w:pageBreakBefore w:val="0"/>
              <w:kinsoku/>
              <w:wordWrap/>
              <w:overflowPunct/>
              <w:topLinePunct w:val="0"/>
              <w:bidi w:val="0"/>
              <w:spacing w:after="0" w:line="440" w:lineRule="exact"/>
              <w:ind w:firstLine="0" w:firstLineChars="0"/>
              <w:jc w:val="left"/>
              <w:textAlignment w:val="auto"/>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价格分统一采用低价优先法计算，即满足招标文件要求且投标价格最低的投标报投标价为评标基准价，其价格分为满分。其他供应商的价格分统一按照下面公式计算：投标报价得分=（评标基准价/投标报价）×</w:t>
            </w: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val="zh-CN"/>
                <w14:textFill>
                  <w14:solidFill>
                    <w14:schemeClr w14:val="tx1"/>
                  </w14:solidFill>
                </w14:textFill>
              </w:rPr>
              <w:t>0。</w:t>
            </w:r>
          </w:p>
          <w:p w14:paraId="0B0E6DBB">
            <w:pPr>
              <w:pStyle w:val="20"/>
              <w:keepNext w:val="0"/>
              <w:keepLines w:val="0"/>
              <w:pageBreakBefore w:val="0"/>
              <w:kinsoku/>
              <w:wordWrap/>
              <w:overflowPunct/>
              <w:topLinePunct w:val="0"/>
              <w:bidi w:val="0"/>
              <w:spacing w:after="0" w:line="440" w:lineRule="exact"/>
              <w:ind w:firstLine="0" w:firstLineChars="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zh-CN"/>
                <w14:textFill>
                  <w14:solidFill>
                    <w14:schemeClr w14:val="tx1"/>
                  </w14:solidFill>
                </w14:textFill>
              </w:rPr>
              <w:t>注：</w:t>
            </w: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zh-CN"/>
                <w14:textFill>
                  <w14:solidFill>
                    <w14:schemeClr w14:val="tx1"/>
                  </w14:solidFill>
                </w14:textFill>
              </w:rPr>
              <w:t>有效供应商是指实质上响应招标文件要求并通过实质性审核未被否决投标的所有供应商。</w:t>
            </w:r>
          </w:p>
          <w:p w14:paraId="4B8DACBD">
            <w:pPr>
              <w:pStyle w:val="20"/>
              <w:keepNext w:val="0"/>
              <w:keepLines w:val="0"/>
              <w:pageBreakBefore w:val="0"/>
              <w:kinsoku/>
              <w:wordWrap/>
              <w:overflowPunct/>
              <w:topLinePunct w:val="0"/>
              <w:bidi w:val="0"/>
              <w:spacing w:after="0" w:line="440" w:lineRule="exact"/>
              <w:ind w:firstLine="0" w:firstLineChars="0"/>
              <w:jc w:val="lef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default" w:ascii="宋体" w:hAnsi="宋体" w:eastAsia="宋体" w:cs="宋体"/>
                <w:color w:val="000000" w:themeColor="text1"/>
                <w:sz w:val="21"/>
                <w:szCs w:val="21"/>
                <w:highlight w:val="none"/>
                <w:lang w:val="en-US" w:eastAsia="zh-CN"/>
                <w14:textFill>
                  <w14:solidFill>
                    <w14:schemeClr w14:val="tx1"/>
                  </w14:solidFill>
                </w14:textFill>
              </w:rPr>
              <w:t>依据《关于推动解决政府采购异常低价问题的通知》（财库〔2026〕2号）：政府采购评审中出现下列情形之一的，评审委员会应当启动异常低价投标（响应）审查程序：</w:t>
            </w:r>
          </w:p>
          <w:p w14:paraId="6A769A64">
            <w:pPr>
              <w:pStyle w:val="20"/>
              <w:keepNext w:val="0"/>
              <w:keepLines w:val="0"/>
              <w:pageBreakBefore w:val="0"/>
              <w:kinsoku/>
              <w:wordWrap/>
              <w:overflowPunct/>
              <w:topLinePunct w:val="0"/>
              <w:bidi w:val="0"/>
              <w:spacing w:after="0" w:line="440" w:lineRule="exact"/>
              <w:ind w:firstLine="0" w:firstLineChars="0"/>
              <w:jc w:val="lef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7D1F6105">
            <w:pPr>
              <w:pStyle w:val="20"/>
              <w:keepNext w:val="0"/>
              <w:keepLines w:val="0"/>
              <w:pageBreakBefore w:val="0"/>
              <w:kinsoku/>
              <w:wordWrap/>
              <w:overflowPunct/>
              <w:topLinePunct w:val="0"/>
              <w:bidi w:val="0"/>
              <w:spacing w:after="0" w:line="440" w:lineRule="exact"/>
              <w:ind w:firstLine="0" w:firstLineChars="0"/>
              <w:jc w:val="lef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74F99AAC">
            <w:pPr>
              <w:pStyle w:val="20"/>
              <w:keepNext w:val="0"/>
              <w:keepLines w:val="0"/>
              <w:pageBreakBefore w:val="0"/>
              <w:kinsoku/>
              <w:wordWrap/>
              <w:overflowPunct/>
              <w:topLinePunct w:val="0"/>
              <w:bidi w:val="0"/>
              <w:spacing w:after="0" w:line="440" w:lineRule="exact"/>
              <w:ind w:firstLine="0" w:firstLineChars="0"/>
              <w:jc w:val="lef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（3）投标（响应）报价低于采购项目最高限价45%的，即投标（响应）报价&lt;采购项目最高限价×45%；</w:t>
            </w:r>
          </w:p>
          <w:p w14:paraId="13C21EEE">
            <w:pPr>
              <w:pStyle w:val="20"/>
              <w:keepNext w:val="0"/>
              <w:keepLines w:val="0"/>
              <w:pageBreakBefore w:val="0"/>
              <w:kinsoku/>
              <w:wordWrap/>
              <w:overflowPunct/>
              <w:topLinePunct w:val="0"/>
              <w:bidi w:val="0"/>
              <w:spacing w:after="0" w:line="440" w:lineRule="exact"/>
              <w:ind w:firstLine="0" w:firstLineChars="0"/>
              <w:jc w:val="lef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（4）评审委员会基于专业判断，认为供应商报价过低，有可能影响产品质量或者不能诚信履约的其他情形。</w:t>
            </w:r>
          </w:p>
          <w:p w14:paraId="05AC4AD6">
            <w:pPr>
              <w:pStyle w:val="20"/>
              <w:keepNext w:val="0"/>
              <w:keepLines w:val="0"/>
              <w:pageBreakBefore w:val="0"/>
              <w:kinsoku/>
              <w:wordWrap/>
              <w:overflowPunct/>
              <w:topLinePunct w:val="0"/>
              <w:bidi w:val="0"/>
              <w:spacing w:after="0" w:line="440" w:lineRule="exact"/>
              <w:ind w:firstLine="0" w:firstLineChars="0"/>
              <w:jc w:val="lef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FBBB77F">
            <w:pPr>
              <w:pStyle w:val="20"/>
              <w:keepNext w:val="0"/>
              <w:keepLines w:val="0"/>
              <w:pageBreakBefore w:val="0"/>
              <w:kinsoku/>
              <w:wordWrap/>
              <w:overflowPunct/>
              <w:topLinePunct w:val="0"/>
              <w:bidi w:val="0"/>
              <w:spacing w:after="0" w:line="440" w:lineRule="exact"/>
              <w:ind w:firstLine="0" w:firstLineChars="0"/>
              <w:jc w:val="lef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A6B0EF1">
            <w:pPr>
              <w:pStyle w:val="20"/>
              <w:keepNext w:val="0"/>
              <w:keepLines w:val="0"/>
              <w:pageBreakBefore w:val="0"/>
              <w:kinsoku/>
              <w:wordWrap/>
              <w:overflowPunct/>
              <w:topLinePunct w:val="0"/>
              <w:bidi w:val="0"/>
              <w:spacing w:after="0" w:line="440" w:lineRule="exact"/>
              <w:ind w:firstLine="0" w:firstLineChars="0"/>
              <w:jc w:val="lef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3、根据政府采购相关政策，给予小型或微型企业产品（所有采购标的均为小微企业制造的）价格20%的扣除，用扣除后的价格参与评审，参与评审的小型（微型）企业产品投标报价=小型（微型）企业产品报价×（1-20%）</w:t>
            </w:r>
          </w:p>
          <w:p w14:paraId="279F884F">
            <w:pPr>
              <w:pStyle w:val="20"/>
              <w:keepNext w:val="0"/>
              <w:keepLines w:val="0"/>
              <w:pageBreakBefore w:val="0"/>
              <w:kinsoku/>
              <w:wordWrap/>
              <w:overflowPunct/>
              <w:topLinePunct w:val="0"/>
              <w:bidi w:val="0"/>
              <w:spacing w:after="0" w:line="440" w:lineRule="exact"/>
              <w:ind w:firstLine="0" w:firstLineChars="0"/>
              <w:jc w:val="lef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4、残疾人福利性单位视同小型或微型企业，价格给予20%的扣除，用扣除后的价格参与评审。</w:t>
            </w:r>
          </w:p>
          <w:p w14:paraId="3C1A5298">
            <w:pPr>
              <w:pStyle w:val="20"/>
              <w:keepNext w:val="0"/>
              <w:keepLines w:val="0"/>
              <w:pageBreakBefore w:val="0"/>
              <w:kinsoku/>
              <w:wordWrap/>
              <w:overflowPunct/>
              <w:topLinePunct w:val="0"/>
              <w:bidi w:val="0"/>
              <w:spacing w:after="0" w:line="440" w:lineRule="exact"/>
              <w:ind w:firstLine="0" w:firstLineChars="0"/>
              <w:jc w:val="lef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5、在政府采购活动中，监狱企业视同小型、微型企业，价格给予20%的扣除，用扣除后的价格参与评审。</w:t>
            </w:r>
          </w:p>
          <w:p w14:paraId="6B24C26C">
            <w:pPr>
              <w:pStyle w:val="20"/>
              <w:keepNext w:val="0"/>
              <w:keepLines w:val="0"/>
              <w:pageBreakBefore w:val="0"/>
              <w:kinsoku/>
              <w:wordWrap/>
              <w:overflowPunct/>
              <w:topLinePunct w:val="0"/>
              <w:bidi w:val="0"/>
              <w:spacing w:after="0" w:line="440" w:lineRule="exact"/>
              <w:ind w:firstLine="0" w:firstLineChars="0"/>
              <w:jc w:val="lef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6、供应商采用本国产品价格给予20% 的扣除，用扣除后的价格参与评审。</w:t>
            </w:r>
          </w:p>
          <w:p w14:paraId="379CE9BF">
            <w:pPr>
              <w:pStyle w:val="20"/>
              <w:keepNext w:val="0"/>
              <w:keepLines w:val="0"/>
              <w:pageBreakBefore w:val="0"/>
              <w:kinsoku/>
              <w:wordWrap/>
              <w:overflowPunct/>
              <w:topLinePunct w:val="0"/>
              <w:bidi w:val="0"/>
              <w:spacing w:after="0" w:line="440" w:lineRule="exact"/>
              <w:ind w:firstLine="0" w:firstLineChars="0"/>
              <w:jc w:val="left"/>
              <w:textAlignment w:val="auto"/>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default" w:ascii="宋体" w:hAnsi="宋体" w:eastAsia="宋体" w:cs="宋体"/>
                <w:b/>
                <w:bCs/>
                <w:color w:val="000000" w:themeColor="text1"/>
                <w:sz w:val="21"/>
                <w:szCs w:val="21"/>
                <w:highlight w:val="none"/>
                <w:lang w:val="en-US" w:eastAsia="zh-CN"/>
                <w14:textFill>
                  <w14:solidFill>
                    <w14:schemeClr w14:val="tx1"/>
                  </w14:solidFill>
                </w14:textFill>
              </w:rPr>
              <w:t>注：（1）若投标人所有采购标的均为小微企业制造的，须自行提供中小企业声明函（见投标文件格式部分），并对其真实性负责；</w:t>
            </w:r>
          </w:p>
          <w:p w14:paraId="58755392">
            <w:pPr>
              <w:pStyle w:val="20"/>
              <w:keepNext w:val="0"/>
              <w:keepLines w:val="0"/>
              <w:pageBreakBefore w:val="0"/>
              <w:kinsoku/>
              <w:wordWrap/>
              <w:overflowPunct/>
              <w:topLinePunct w:val="0"/>
              <w:bidi w:val="0"/>
              <w:spacing w:after="0" w:line="440" w:lineRule="exact"/>
              <w:ind w:firstLine="0" w:firstLineChars="0"/>
              <w:jc w:val="left"/>
              <w:textAlignment w:val="auto"/>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default" w:ascii="宋体" w:hAnsi="宋体" w:eastAsia="宋体" w:cs="宋体"/>
                <w:b/>
                <w:bCs/>
                <w:color w:val="000000" w:themeColor="text1"/>
                <w:sz w:val="21"/>
                <w:szCs w:val="21"/>
                <w:highlight w:val="none"/>
                <w:lang w:val="en-US" w:eastAsia="zh-CN"/>
                <w14:textFill>
                  <w14:solidFill>
                    <w14:schemeClr w14:val="tx1"/>
                  </w14:solidFill>
                </w14:textFill>
              </w:rPr>
              <w:t>（2）投标人若为残疾人福利性单位，须按规定提供《残疾人福利性单位声明函》（见投标文件格式部分），并对其真实性负责；</w:t>
            </w:r>
          </w:p>
          <w:p w14:paraId="1CC9AB9F">
            <w:pPr>
              <w:pStyle w:val="20"/>
              <w:keepNext w:val="0"/>
              <w:keepLines w:val="0"/>
              <w:pageBreakBefore w:val="0"/>
              <w:kinsoku/>
              <w:wordWrap/>
              <w:overflowPunct/>
              <w:topLinePunct w:val="0"/>
              <w:bidi w:val="0"/>
              <w:spacing w:after="0" w:line="440" w:lineRule="exact"/>
              <w:ind w:firstLine="0" w:firstLineChars="0"/>
              <w:jc w:val="left"/>
              <w:textAlignment w:val="auto"/>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default" w:ascii="宋体" w:hAnsi="宋体" w:eastAsia="宋体" w:cs="宋体"/>
                <w:b/>
                <w:bCs/>
                <w:color w:val="000000" w:themeColor="text1"/>
                <w:sz w:val="21"/>
                <w:szCs w:val="21"/>
                <w:highlight w:val="none"/>
                <w:lang w:val="en-US" w:eastAsia="zh-CN"/>
                <w14:textFill>
                  <w14:solidFill>
                    <w14:schemeClr w14:val="tx1"/>
                  </w14:solidFill>
                </w14:textFill>
              </w:rPr>
              <w:t>（3）投标人若为监狱企业参加政府采购活动，应当提供由省级以上监狱管理局、戒毒管理局(含新疆生产建设兵团)出具的属于监狱企业的证明文件。</w:t>
            </w:r>
          </w:p>
          <w:p w14:paraId="2E2D349D">
            <w:pPr>
              <w:pStyle w:val="20"/>
              <w:keepNext w:val="0"/>
              <w:keepLines w:val="0"/>
              <w:pageBreakBefore w:val="0"/>
              <w:kinsoku/>
              <w:wordWrap/>
              <w:overflowPunct/>
              <w:topLinePunct w:val="0"/>
              <w:bidi w:val="0"/>
              <w:spacing w:after="0" w:line="440" w:lineRule="exact"/>
              <w:ind w:firstLine="0" w:firstLineChars="0"/>
              <w:jc w:val="left"/>
              <w:textAlignment w:val="auto"/>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default" w:ascii="宋体" w:hAnsi="宋体" w:eastAsia="宋体" w:cs="宋体"/>
                <w:b/>
                <w:bCs/>
                <w:color w:val="000000" w:themeColor="text1"/>
                <w:sz w:val="21"/>
                <w:szCs w:val="21"/>
                <w:highlight w:val="none"/>
                <w:lang w:val="en-US" w:eastAsia="zh-CN"/>
                <w14:textFill>
                  <w14:solidFill>
                    <w14:schemeClr w14:val="tx1"/>
                  </w14:solidFill>
                </w14:textFill>
              </w:rPr>
              <w:t>（4）投标人为小型或微型企业的，同时又为残疾人福利性单位或监狱企业的，不重复享受政策。</w:t>
            </w:r>
          </w:p>
          <w:p w14:paraId="00844939">
            <w:pPr>
              <w:pStyle w:val="20"/>
              <w:keepNext w:val="0"/>
              <w:keepLines w:val="0"/>
              <w:pageBreakBefore w:val="0"/>
              <w:kinsoku/>
              <w:wordWrap/>
              <w:overflowPunct/>
              <w:topLinePunct w:val="0"/>
              <w:bidi w:val="0"/>
              <w:spacing w:after="0" w:line="440" w:lineRule="exact"/>
              <w:ind w:firstLine="0" w:firstLineChars="0"/>
              <w:jc w:val="left"/>
              <w:textAlignment w:val="auto"/>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default" w:ascii="宋体" w:hAnsi="宋体" w:eastAsia="宋体" w:cs="宋体"/>
                <w:b/>
                <w:bCs/>
                <w:color w:val="000000" w:themeColor="text1"/>
                <w:sz w:val="21"/>
                <w:szCs w:val="21"/>
                <w:highlight w:val="none"/>
                <w:lang w:val="en-US" w:eastAsia="zh-CN"/>
                <w14:textFill>
                  <w14:solidFill>
                    <w14:schemeClr w14:val="tx1"/>
                  </w14:solidFill>
                </w14:textFill>
              </w:rPr>
              <w:t>（5）本项目对中小企业、本国产品分别落实价格扣除政策，符合条件的可叠加享受、重复计算。</w:t>
            </w:r>
          </w:p>
          <w:p w14:paraId="6FDC636C">
            <w:pPr>
              <w:pStyle w:val="20"/>
              <w:keepNext w:val="0"/>
              <w:keepLines w:val="0"/>
              <w:pageBreakBefore w:val="0"/>
              <w:kinsoku/>
              <w:wordWrap/>
              <w:overflowPunct/>
              <w:topLinePunct w:val="0"/>
              <w:bidi w:val="0"/>
              <w:spacing w:after="0" w:line="440" w:lineRule="exact"/>
              <w:ind w:firstLine="0" w:firstLineChars="0"/>
              <w:jc w:val="left"/>
              <w:textAlignment w:val="auto"/>
              <w:rPr>
                <w:rFonts w:hint="default" w:eastAsia="宋体"/>
                <w:lang w:val="en-US" w:eastAsia="zh-CN"/>
              </w:rPr>
            </w:pPr>
            <w:r>
              <w:rPr>
                <w:rFonts w:hint="eastAsia" w:ascii="宋体" w:hAnsi="宋体" w:cs="宋体"/>
                <w:b/>
                <w:bCs/>
                <w:color w:val="000000" w:themeColor="text1"/>
                <w:sz w:val="21"/>
                <w:szCs w:val="21"/>
                <w:highlight w:val="none"/>
                <w:lang w:val="en-US" w:eastAsia="zh-CN"/>
                <w14:textFill>
                  <w14:solidFill>
                    <w14:schemeClr w14:val="tx1"/>
                  </w14:solidFill>
                </w14:textFill>
              </w:rPr>
              <w:t>（6）</w:t>
            </w:r>
            <w:r>
              <w:rPr>
                <w:rFonts w:hint="default" w:ascii="宋体" w:hAnsi="宋体" w:eastAsia="宋体" w:cs="宋体"/>
                <w:b/>
                <w:bCs/>
                <w:color w:val="000000" w:themeColor="text1"/>
                <w:sz w:val="21"/>
                <w:szCs w:val="21"/>
                <w:highlight w:val="none"/>
                <w:lang w:val="en-US" w:eastAsia="zh-CN"/>
                <w14:textFill>
                  <w14:solidFill>
                    <w14:schemeClr w14:val="tx1"/>
                  </w14:solidFill>
                </w14:textFill>
              </w:rPr>
              <w:t>当采购项目或者采购包的采购标的中含有多种产品，供应商为该采购项目或者采购包提供的符合本国产品标准的产品成本之和占该供应商提供的全部产品成本之和的比例达到80%以上时，且供应商在投标(响应)文件中对此作出承诺的，则依法对该供应商提供的全部产品给予价格评审优惠，即对该供应商提供的全部产品的总报价给予20%的价格扣除，用扣除后的价格参与评审。</w:t>
            </w:r>
          </w:p>
        </w:tc>
      </w:tr>
      <w:tr w14:paraId="6ABDDC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7" w:hRule="atLeast"/>
          <w:jc w:val="center"/>
        </w:trPr>
        <w:tc>
          <w:tcPr>
            <w:tcW w:w="2451" w:type="dxa"/>
            <w:gridSpan w:val="2"/>
            <w:tcBorders>
              <w:tl2br w:val="nil"/>
              <w:tr2bl w:val="nil"/>
            </w:tcBorders>
            <w:vAlign w:val="center"/>
          </w:tcPr>
          <w:p w14:paraId="163D4EAB">
            <w:pPr>
              <w:pStyle w:val="32"/>
              <w:keepNext w:val="0"/>
              <w:keepLines w:val="0"/>
              <w:pageBreakBefore w:val="0"/>
              <w:kinsoku/>
              <w:wordWrap/>
              <w:overflowPunct/>
              <w:topLinePunct w:val="0"/>
              <w:bidi w:val="0"/>
              <w:spacing w:line="44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技术部分（</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b/>
                <w:bCs/>
                <w:color w:val="000000" w:themeColor="text1"/>
                <w:sz w:val="21"/>
                <w:szCs w:val="21"/>
                <w:highlight w:val="none"/>
                <w14:textFill>
                  <w14:solidFill>
                    <w14:schemeClr w14:val="tx1"/>
                  </w14:solidFill>
                </w14:textFill>
              </w:rPr>
              <w:t>分）</w:t>
            </w:r>
          </w:p>
        </w:tc>
        <w:tc>
          <w:tcPr>
            <w:tcW w:w="6819" w:type="dxa"/>
            <w:tcBorders>
              <w:tl2br w:val="nil"/>
              <w:tr2bl w:val="nil"/>
            </w:tcBorders>
            <w:vAlign w:val="center"/>
          </w:tcPr>
          <w:p w14:paraId="53B8B27C">
            <w:pPr>
              <w:pStyle w:val="100"/>
              <w:keepNext w:val="0"/>
              <w:keepLines w:val="0"/>
              <w:pageBreakBefore w:val="0"/>
              <w:tabs>
                <w:tab w:val="left" w:pos="900"/>
              </w:tabs>
              <w:kinsoku/>
              <w:wordWrap/>
              <w:overflowPunct/>
              <w:topLinePunct w:val="0"/>
              <w:bidi w:val="0"/>
              <w:spacing w:line="440" w:lineRule="exact"/>
              <w:ind w:left="0"/>
              <w:textAlignment w:val="auto"/>
              <w:rPr>
                <w:rFonts w:hint="eastAsia" w:ascii="宋体" w:hAnsi="宋体" w:eastAsia="宋体" w:cs="宋体"/>
                <w:color w:val="000000" w:themeColor="text1"/>
                <w:sz w:val="21"/>
                <w:szCs w:val="21"/>
                <w:highlight w:val="none"/>
                <w14:textFill>
                  <w14:solidFill>
                    <w14:schemeClr w14:val="tx1"/>
                  </w14:solidFill>
                </w14:textFill>
              </w:rPr>
            </w:pPr>
            <w:r>
              <w:rPr>
                <w:rStyle w:val="166"/>
                <w:rFonts w:hint="eastAsia" w:ascii="宋体" w:hAnsi="宋体" w:eastAsia="宋体" w:cs="宋体"/>
                <w:color w:val="000000" w:themeColor="text1"/>
                <w:sz w:val="21"/>
                <w:szCs w:val="21"/>
                <w:highlight w:val="none"/>
                <w14:textFill>
                  <w14:solidFill>
                    <w14:schemeClr w14:val="tx1"/>
                  </w14:solidFill>
                </w14:textFill>
              </w:rPr>
              <w:t>供应商对</w:t>
            </w:r>
            <w:r>
              <w:rPr>
                <w:rFonts w:hint="eastAsia" w:ascii="宋体" w:hAnsi="宋体" w:eastAsia="宋体" w:cs="宋体"/>
                <w:color w:val="000000" w:themeColor="text1"/>
                <w:sz w:val="21"/>
                <w:szCs w:val="21"/>
                <w:highlight w:val="none"/>
                <w:lang w:val="zh-CN"/>
                <w14:textFill>
                  <w14:solidFill>
                    <w14:schemeClr w14:val="tx1"/>
                  </w14:solidFill>
                </w14:textFill>
              </w:rPr>
              <w:t>所投产品的技术参数、技术性能完全满足招标文件要求，得满分</w:t>
            </w:r>
            <w:r>
              <w:rPr>
                <w:rFonts w:hint="eastAsia" w:ascii="宋体" w:hAnsi="宋体" w:eastAsia="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lang w:val="zh-CN"/>
                <w14:textFill>
                  <w14:solidFill>
                    <w14:schemeClr w14:val="tx1"/>
                  </w14:solidFill>
                </w14:textFill>
              </w:rPr>
              <w:t>分，</w:t>
            </w:r>
            <w:bookmarkStart w:id="112" w:name="OLE_LINK3"/>
            <w:r>
              <w:rPr>
                <w:rStyle w:val="166"/>
                <w:rFonts w:hint="eastAsia" w:ascii="宋体" w:hAnsi="宋体" w:eastAsia="宋体" w:cs="宋体"/>
                <w:color w:val="000000" w:themeColor="text1"/>
                <w:sz w:val="21"/>
                <w:szCs w:val="21"/>
                <w:highlight w:val="none"/>
                <w14:textFill>
                  <w14:solidFill>
                    <w14:schemeClr w14:val="tx1"/>
                  </w14:solidFill>
                </w14:textFill>
              </w:rPr>
              <w:t>技术参数每有一项负偏离的，扣1分</w:t>
            </w:r>
            <w:bookmarkEnd w:id="112"/>
            <w:r>
              <w:rPr>
                <w:rStyle w:val="166"/>
                <w:rFonts w:hint="eastAsia" w:ascii="宋体" w:hAnsi="宋体" w:eastAsia="宋体" w:cs="宋体"/>
                <w:color w:val="000000" w:themeColor="text1"/>
                <w:sz w:val="21"/>
                <w:szCs w:val="21"/>
                <w:highlight w:val="none"/>
                <w14:textFill>
                  <w14:solidFill>
                    <w14:schemeClr w14:val="tx1"/>
                  </w14:solidFill>
                </w14:textFill>
              </w:rPr>
              <w:t>，扣完为止；</w:t>
            </w:r>
          </w:p>
        </w:tc>
      </w:tr>
      <w:tr w14:paraId="41A677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1178" w:type="dxa"/>
            <w:vMerge w:val="restart"/>
            <w:tcBorders>
              <w:tl2br w:val="nil"/>
              <w:tr2bl w:val="nil"/>
            </w:tcBorders>
            <w:vAlign w:val="center"/>
          </w:tcPr>
          <w:p w14:paraId="5E1DBE95">
            <w:pPr>
              <w:keepNext w:val="0"/>
              <w:keepLines w:val="0"/>
              <w:pageBreakBefore w:val="0"/>
              <w:kinsoku/>
              <w:wordWrap/>
              <w:overflowPunct/>
              <w:topLinePunct w:val="0"/>
              <w:bidi w:val="0"/>
              <w:adjustRightInd w:val="0"/>
              <w:snapToGrid w:val="0"/>
              <w:spacing w:line="440" w:lineRule="exact"/>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综合部分（</w:t>
            </w:r>
            <w:r>
              <w:rPr>
                <w:rFonts w:hint="eastAsia" w:ascii="宋体" w:hAnsi="宋体" w:eastAsia="宋体" w:cs="宋体"/>
                <w:b/>
                <w:color w:val="000000" w:themeColor="text1"/>
                <w:sz w:val="21"/>
                <w:szCs w:val="21"/>
                <w:highlight w:val="none"/>
                <w:lang w:val="en-US" w:eastAsia="zh-CN"/>
                <w14:textFill>
                  <w14:solidFill>
                    <w14:schemeClr w14:val="tx1"/>
                  </w14:solidFill>
                </w14:textFill>
              </w:rPr>
              <w:t>40</w:t>
            </w:r>
            <w:r>
              <w:rPr>
                <w:rFonts w:hint="eastAsia" w:ascii="宋体" w:hAnsi="宋体" w:eastAsia="宋体" w:cs="宋体"/>
                <w:b/>
                <w:color w:val="000000" w:themeColor="text1"/>
                <w:sz w:val="21"/>
                <w:szCs w:val="21"/>
                <w:highlight w:val="none"/>
                <w14:textFill>
                  <w14:solidFill>
                    <w14:schemeClr w14:val="tx1"/>
                  </w14:solidFill>
                </w14:textFill>
              </w:rPr>
              <w:t>分）</w:t>
            </w:r>
          </w:p>
        </w:tc>
        <w:tc>
          <w:tcPr>
            <w:tcW w:w="1273" w:type="dxa"/>
            <w:tcBorders>
              <w:tl2br w:val="nil"/>
              <w:tr2bl w:val="nil"/>
            </w:tcBorders>
            <w:vAlign w:val="center"/>
          </w:tcPr>
          <w:p w14:paraId="62DC9588">
            <w:pPr>
              <w:keepNext w:val="0"/>
              <w:keepLines w:val="0"/>
              <w:pageBreakBefore w:val="0"/>
              <w:kinsoku/>
              <w:wordWrap/>
              <w:overflowPunct/>
              <w:topLinePunct w:val="0"/>
              <w:bidi w:val="0"/>
              <w:spacing w:line="4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绿色产品</w:t>
            </w:r>
          </w:p>
          <w:p w14:paraId="110B8995">
            <w:pPr>
              <w:keepNext w:val="0"/>
              <w:keepLines w:val="0"/>
              <w:pageBreakBefore w:val="0"/>
              <w:kinsoku/>
              <w:wordWrap/>
              <w:overflowPunct/>
              <w:topLinePunct w:val="0"/>
              <w:bidi w:val="0"/>
              <w:spacing w:line="4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6819" w:type="dxa"/>
            <w:tcBorders>
              <w:tl2br w:val="nil"/>
              <w:tr2bl w:val="nil"/>
            </w:tcBorders>
            <w:vAlign w:val="center"/>
          </w:tcPr>
          <w:p w14:paraId="7EEB1F2A">
            <w:pPr>
              <w:keepNext w:val="0"/>
              <w:keepLines w:val="0"/>
              <w:pageBreakBefore w:val="0"/>
              <w:kinsoku/>
              <w:wordWrap/>
              <w:overflowPunct/>
              <w:topLinePunct w:val="0"/>
              <w:bidi w:val="0"/>
              <w:spacing w:line="4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（1）除政府强制采购的节能产品外，本项目所采购的内容中任意一项货物提供具有国家确定的认证机构出具的、处于有效期内的节能产品认证证书的得</w:t>
            </w:r>
            <w:r>
              <w:rPr>
                <w:rFonts w:hint="eastAsia" w:ascii="宋体" w:hAnsi="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分，否则不得分。</w:t>
            </w:r>
          </w:p>
          <w:p w14:paraId="64AB2D98">
            <w:pPr>
              <w:keepNext w:val="0"/>
              <w:keepLines w:val="0"/>
              <w:pageBreakBefore w:val="0"/>
              <w:kinsoku/>
              <w:wordWrap/>
              <w:overflowPunct/>
              <w:topLinePunct w:val="0"/>
              <w:bidi w:val="0"/>
              <w:spacing w:line="4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（2）本项目所采购的内容中任意一项货物提供具有国家确定的认证机构出具的、处于有效期内的环境标志产品认证证书的得</w:t>
            </w:r>
            <w:r>
              <w:rPr>
                <w:rFonts w:hint="eastAsia" w:ascii="宋体" w:hAnsi="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分，否则不得分。</w:t>
            </w:r>
          </w:p>
        </w:tc>
      </w:tr>
      <w:tr w14:paraId="5FA644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78" w:type="dxa"/>
            <w:vMerge w:val="continue"/>
            <w:tcBorders>
              <w:tl2br w:val="nil"/>
              <w:tr2bl w:val="nil"/>
            </w:tcBorders>
            <w:vAlign w:val="center"/>
          </w:tcPr>
          <w:p w14:paraId="6AEAB4F8">
            <w:pPr>
              <w:keepNext w:val="0"/>
              <w:keepLines w:val="0"/>
              <w:pageBreakBefore w:val="0"/>
              <w:kinsoku/>
              <w:wordWrap/>
              <w:overflowPunct/>
              <w:topLinePunct w:val="0"/>
              <w:bidi w:val="0"/>
              <w:adjustRightInd w:val="0"/>
              <w:snapToGrid w:val="0"/>
              <w:spacing w:line="440" w:lineRule="exact"/>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p>
        </w:tc>
        <w:tc>
          <w:tcPr>
            <w:tcW w:w="1273" w:type="dxa"/>
            <w:tcBorders>
              <w:tl2br w:val="nil"/>
              <w:tr2bl w:val="nil"/>
            </w:tcBorders>
            <w:vAlign w:val="center"/>
          </w:tcPr>
          <w:p w14:paraId="20DC470E">
            <w:pPr>
              <w:keepNext w:val="0"/>
              <w:keepLines w:val="0"/>
              <w:pageBreakBefore w:val="0"/>
              <w:kinsoku/>
              <w:wordWrap/>
              <w:overflowPunct/>
              <w:topLinePunct w:val="0"/>
              <w:bidi w:val="0"/>
              <w:spacing w:line="440" w:lineRule="exact"/>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业绩</w:t>
            </w:r>
          </w:p>
          <w:p w14:paraId="7D892A75">
            <w:pPr>
              <w:keepNext w:val="0"/>
              <w:keepLines w:val="0"/>
              <w:pageBreakBefore w:val="0"/>
              <w:kinsoku/>
              <w:wordWrap/>
              <w:overflowPunct/>
              <w:topLinePunct w:val="0"/>
              <w:bidi w:val="0"/>
              <w:spacing w:line="440" w:lineRule="exact"/>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（2分）</w:t>
            </w:r>
          </w:p>
        </w:tc>
        <w:tc>
          <w:tcPr>
            <w:tcW w:w="6819" w:type="dxa"/>
            <w:tcBorders>
              <w:tl2br w:val="nil"/>
              <w:tr2bl w:val="nil"/>
            </w:tcBorders>
          </w:tcPr>
          <w:p w14:paraId="11E67369">
            <w:pPr>
              <w:keepNext w:val="0"/>
              <w:keepLines w:val="0"/>
              <w:pageBreakBefore w:val="0"/>
              <w:kinsoku/>
              <w:wordWrap/>
              <w:overflowPunct/>
              <w:topLinePunct w:val="0"/>
              <w:bidi w:val="0"/>
              <w:spacing w:line="44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供应商202</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年以来（以合同签订时间为准）承担过类似项目的，每提供一份有效业绩得1分，最多得2分。</w:t>
            </w:r>
          </w:p>
          <w:p w14:paraId="340ED70E">
            <w:pPr>
              <w:keepNext w:val="0"/>
              <w:keepLines w:val="0"/>
              <w:pageBreakBefore w:val="0"/>
              <w:kinsoku/>
              <w:wordWrap/>
              <w:overflowPunct/>
              <w:topLinePunct w:val="0"/>
              <w:bidi w:val="0"/>
              <w:spacing w:line="440" w:lineRule="exact"/>
              <w:jc w:val="left"/>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备注：有效业绩指投标文件中须同时提供项目中标公示截图、合同、中标通知书。</w:t>
            </w:r>
          </w:p>
        </w:tc>
      </w:tr>
      <w:tr w14:paraId="7295DC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1178" w:type="dxa"/>
            <w:vMerge w:val="continue"/>
            <w:tcBorders>
              <w:tl2br w:val="nil"/>
              <w:tr2bl w:val="nil"/>
            </w:tcBorders>
            <w:vAlign w:val="center"/>
          </w:tcPr>
          <w:p w14:paraId="0CD99E55">
            <w:pPr>
              <w:keepNext w:val="0"/>
              <w:keepLines w:val="0"/>
              <w:pageBreakBefore w:val="0"/>
              <w:kinsoku/>
              <w:wordWrap/>
              <w:overflowPunct/>
              <w:topLinePunct w:val="0"/>
              <w:bidi w:val="0"/>
              <w:adjustRightInd w:val="0"/>
              <w:snapToGrid w:val="0"/>
              <w:spacing w:line="440" w:lineRule="exact"/>
              <w:textAlignment w:val="auto"/>
              <w:rPr>
                <w:rFonts w:hint="eastAsia" w:ascii="宋体" w:hAnsi="宋体" w:eastAsia="宋体" w:cs="宋体"/>
                <w:b/>
                <w:color w:val="000000" w:themeColor="text1"/>
                <w:sz w:val="21"/>
                <w:szCs w:val="21"/>
                <w:highlight w:val="none"/>
                <w14:textFill>
                  <w14:solidFill>
                    <w14:schemeClr w14:val="tx1"/>
                  </w14:solidFill>
                </w14:textFill>
              </w:rPr>
            </w:pPr>
          </w:p>
        </w:tc>
        <w:tc>
          <w:tcPr>
            <w:tcW w:w="1273" w:type="dxa"/>
            <w:tcBorders>
              <w:tl2br w:val="nil"/>
              <w:tr2bl w:val="nil"/>
            </w:tcBorders>
            <w:vAlign w:val="center"/>
          </w:tcPr>
          <w:p w14:paraId="53FA1262">
            <w:pPr>
              <w:keepNext w:val="0"/>
              <w:keepLines w:val="0"/>
              <w:pageBreakBefore w:val="0"/>
              <w:kinsoku/>
              <w:wordWrap/>
              <w:overflowPunct/>
              <w:topLinePunct w:val="0"/>
              <w:bidi w:val="0"/>
              <w:spacing w:line="44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供货方案</w:t>
            </w:r>
          </w:p>
          <w:p w14:paraId="58D0A865">
            <w:pPr>
              <w:keepNext w:val="0"/>
              <w:keepLines w:val="0"/>
              <w:pageBreakBefore w:val="0"/>
              <w:kinsoku/>
              <w:wordWrap/>
              <w:overflowPunct/>
              <w:topLinePunct w:val="0"/>
              <w:bidi w:val="0"/>
              <w:spacing w:line="44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6819" w:type="dxa"/>
            <w:tcBorders>
              <w:tl2br w:val="nil"/>
              <w:tr2bl w:val="nil"/>
            </w:tcBorders>
            <w:vAlign w:val="center"/>
          </w:tcPr>
          <w:p w14:paraId="3011D0AB">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根据供应商的供货方案</w:t>
            </w:r>
            <w:r>
              <w:rPr>
                <w:rFonts w:hint="eastAsia" w:ascii="宋体" w:hAnsi="宋体" w:cs="宋体"/>
                <w:color w:val="000000" w:themeColor="text1"/>
                <w:sz w:val="21"/>
                <w:szCs w:val="21"/>
                <w:highlight w:val="none"/>
                <w:lang w:val="en-US" w:eastAsia="zh-CN"/>
                <w14:textFill>
                  <w14:solidFill>
                    <w14:schemeClr w14:val="tx1"/>
                  </w14:solidFill>
                </w14:textFill>
              </w:rPr>
              <w:t>,从</w:t>
            </w:r>
            <w:r>
              <w:rPr>
                <w:rFonts w:hint="eastAsia" w:ascii="宋体" w:hAnsi="宋体" w:eastAsia="宋体" w:cs="宋体"/>
                <w:color w:val="000000" w:themeColor="text1"/>
                <w:sz w:val="21"/>
                <w:szCs w:val="21"/>
                <w:highlight w:val="none"/>
                <w14:textFill>
                  <w14:solidFill>
                    <w14:schemeClr w14:val="tx1"/>
                  </w14:solidFill>
                </w14:textFill>
              </w:rPr>
              <w:t>供货实施方案</w:t>
            </w:r>
            <w:r>
              <w:rPr>
                <w:rFonts w:hint="eastAsia" w:ascii="宋体" w:hAnsi="宋体" w:cs="宋体"/>
                <w:color w:val="000000" w:themeColor="text1"/>
                <w:sz w:val="21"/>
                <w:szCs w:val="21"/>
                <w:highlight w:val="none"/>
                <w:lang w:eastAsia="zh-CN"/>
                <w14:textFill>
                  <w14:solidFill>
                    <w14:schemeClr w14:val="tx1"/>
                  </w14:solidFill>
                </w14:textFill>
              </w:rPr>
              <w:t>内容</w:t>
            </w:r>
            <w:r>
              <w:rPr>
                <w:rFonts w:hint="eastAsia" w:ascii="宋体" w:hAnsi="宋体" w:eastAsia="宋体" w:cs="宋体"/>
                <w:color w:val="000000" w:themeColor="text1"/>
                <w:sz w:val="21"/>
                <w:szCs w:val="21"/>
                <w:highlight w:val="none"/>
                <w14:textFill>
                  <w14:solidFill>
                    <w14:schemeClr w14:val="tx1"/>
                  </w14:solidFill>
                </w14:textFill>
              </w:rPr>
              <w:t>、供货期、供货保障措施、运输、人员安排等综合评分：</w:t>
            </w:r>
          </w:p>
          <w:p w14:paraId="6C7C3955">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（1）供应商供货方案内容全面、安排科学、工作细致、逻辑清晰、可操性强、有保障措施；包括供货实施方案、供货期、供货保障措施、运输、人员安排等优的得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分；</w:t>
            </w:r>
          </w:p>
          <w:p w14:paraId="4AF06543">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（2）供应商供货方案内容不全、工作计划清晰、安排不太科学、针对性可操作性一般、措施保障不太具体；包括供货方案实施、供货期、供货保障措施、运输、人员安排等内容良的得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w:t>
            </w:r>
          </w:p>
          <w:p w14:paraId="3782DB05">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（3）供应商供货方案内容不全、合理性针对性不强、保障措施不具体；包括供货方案实施、供货期、供货保障措施、运输、人员安排等内容一般的得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w:t>
            </w:r>
          </w:p>
          <w:p w14:paraId="46ADEE8F">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（4）供应商供货方案内容较差、合理性针对性较差、保障措施较差；包括供货方案实施、供货期、供货保障措施、运输、人员安排等内容较差的得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w:t>
            </w:r>
          </w:p>
          <w:p w14:paraId="1B9839C4">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（5）不提供得0分。</w:t>
            </w:r>
          </w:p>
        </w:tc>
      </w:tr>
      <w:tr w14:paraId="395E2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178" w:type="dxa"/>
            <w:vMerge w:val="continue"/>
            <w:tcBorders>
              <w:tl2br w:val="nil"/>
              <w:tr2bl w:val="nil"/>
            </w:tcBorders>
            <w:vAlign w:val="center"/>
          </w:tcPr>
          <w:p w14:paraId="0301B8CD">
            <w:pPr>
              <w:keepNext w:val="0"/>
              <w:keepLines w:val="0"/>
              <w:pageBreakBefore w:val="0"/>
              <w:kinsoku/>
              <w:wordWrap/>
              <w:overflowPunct/>
              <w:topLinePunct w:val="0"/>
              <w:bidi w:val="0"/>
              <w:adjustRightInd w:val="0"/>
              <w:snapToGrid w:val="0"/>
              <w:spacing w:line="440" w:lineRule="exact"/>
              <w:textAlignment w:val="auto"/>
              <w:rPr>
                <w:rFonts w:hint="eastAsia" w:ascii="宋体" w:hAnsi="宋体" w:eastAsia="宋体" w:cs="宋体"/>
                <w:b/>
                <w:color w:val="000000" w:themeColor="text1"/>
                <w:sz w:val="21"/>
                <w:szCs w:val="21"/>
                <w:highlight w:val="none"/>
                <w14:textFill>
                  <w14:solidFill>
                    <w14:schemeClr w14:val="tx1"/>
                  </w14:solidFill>
                </w14:textFill>
              </w:rPr>
            </w:pPr>
          </w:p>
        </w:tc>
        <w:tc>
          <w:tcPr>
            <w:tcW w:w="1273" w:type="dxa"/>
            <w:tcBorders>
              <w:tl2br w:val="nil"/>
              <w:tr2bl w:val="nil"/>
            </w:tcBorders>
            <w:vAlign w:val="center"/>
          </w:tcPr>
          <w:p w14:paraId="3AA9038E">
            <w:pPr>
              <w:keepNext w:val="0"/>
              <w:keepLines w:val="0"/>
              <w:pageBreakBefore w:val="0"/>
              <w:kinsoku/>
              <w:wordWrap/>
              <w:overflowPunct/>
              <w:topLinePunct w:val="0"/>
              <w:bidi w:val="0"/>
              <w:spacing w:line="44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安装调试方法与技术措施（</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6819" w:type="dxa"/>
            <w:tcBorders>
              <w:tl2br w:val="nil"/>
              <w:tr2bl w:val="nil"/>
            </w:tcBorders>
            <w:vAlign w:val="center"/>
          </w:tcPr>
          <w:p w14:paraId="457675F2">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根据供应商的安装调试方法与技术措施，从技术成熟度、先进性、安全性，功能完善性，合理性等综合评分：</w:t>
            </w:r>
          </w:p>
          <w:p w14:paraId="7B27B9D0">
            <w:pPr>
              <w:keepNext w:val="0"/>
              <w:keepLines w:val="0"/>
              <w:pageBreakBefore w:val="0"/>
              <w:numPr>
                <w:ilvl w:val="0"/>
                <w:numId w:val="3"/>
              </w:numPr>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安装调试方法与技术措施编写完善、详尽、合理、逻辑清晰、可行性程度高的得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分；</w:t>
            </w:r>
          </w:p>
          <w:p w14:paraId="05251270">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（2）安装调试方法与技术措施编较完善、较详尽、合理、逻辑较清晰、具有可行性的得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w:t>
            </w:r>
          </w:p>
          <w:p w14:paraId="1B3BBDBE">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（3）安装调试方法与技术措施编写一般、但基本合理、基本可达到要求，可行性程度一般的得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w:t>
            </w:r>
          </w:p>
          <w:p w14:paraId="2260060B">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（4）安装调试方法与技术措施编写较差、不合理、逻辑混乱、可行性程度差的得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w:t>
            </w:r>
          </w:p>
          <w:p w14:paraId="13CA26FA">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（5）不提供得0分。</w:t>
            </w:r>
          </w:p>
        </w:tc>
      </w:tr>
      <w:tr w14:paraId="4F0162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1178" w:type="dxa"/>
            <w:vMerge w:val="continue"/>
            <w:tcBorders>
              <w:tl2br w:val="nil"/>
              <w:tr2bl w:val="nil"/>
            </w:tcBorders>
            <w:vAlign w:val="center"/>
          </w:tcPr>
          <w:p w14:paraId="2C9416D7">
            <w:pPr>
              <w:keepNext w:val="0"/>
              <w:keepLines w:val="0"/>
              <w:pageBreakBefore w:val="0"/>
              <w:kinsoku/>
              <w:wordWrap/>
              <w:overflowPunct/>
              <w:topLinePunct w:val="0"/>
              <w:bidi w:val="0"/>
              <w:adjustRightInd w:val="0"/>
              <w:snapToGrid w:val="0"/>
              <w:spacing w:line="440" w:lineRule="exact"/>
              <w:textAlignment w:val="auto"/>
              <w:rPr>
                <w:rFonts w:hint="eastAsia" w:ascii="宋体" w:hAnsi="宋体" w:eastAsia="宋体" w:cs="宋体"/>
                <w:b/>
                <w:color w:val="000000" w:themeColor="text1"/>
                <w:sz w:val="21"/>
                <w:szCs w:val="21"/>
                <w:highlight w:val="none"/>
                <w14:textFill>
                  <w14:solidFill>
                    <w14:schemeClr w14:val="tx1"/>
                  </w14:solidFill>
                </w14:textFill>
              </w:rPr>
            </w:pPr>
          </w:p>
        </w:tc>
        <w:tc>
          <w:tcPr>
            <w:tcW w:w="1273" w:type="dxa"/>
            <w:tcBorders>
              <w:tl2br w:val="nil"/>
              <w:tr2bl w:val="nil"/>
            </w:tcBorders>
            <w:vAlign w:val="center"/>
          </w:tcPr>
          <w:p w14:paraId="4003A8EC">
            <w:pPr>
              <w:keepNext w:val="0"/>
              <w:keepLines w:val="0"/>
              <w:pageBreakBefore w:val="0"/>
              <w:kinsoku/>
              <w:wordWrap/>
              <w:overflowPunct/>
              <w:topLinePunct w:val="0"/>
              <w:bidi w:val="0"/>
              <w:spacing w:line="44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质量保证方案及措施</w:t>
            </w:r>
          </w:p>
          <w:p w14:paraId="7C4EB5FD">
            <w:pPr>
              <w:keepNext w:val="0"/>
              <w:keepLines w:val="0"/>
              <w:pageBreakBefore w:val="0"/>
              <w:kinsoku/>
              <w:wordWrap/>
              <w:overflowPunct/>
              <w:topLinePunct w:val="0"/>
              <w:bidi w:val="0"/>
              <w:spacing w:line="44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6819" w:type="dxa"/>
            <w:tcBorders>
              <w:tl2br w:val="nil"/>
              <w:tr2bl w:val="nil"/>
            </w:tcBorders>
            <w:vAlign w:val="center"/>
          </w:tcPr>
          <w:p w14:paraId="63BCEA34">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根据供应商的质量保证方案及措施，从技术成熟度、先进性、安全性，功能合理性等综合评分：</w:t>
            </w:r>
          </w:p>
          <w:p w14:paraId="1250EC9A">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（1）质量保证方案及措施技术成熟、重点难点分析全面、内容详尽、合理、逻辑清晰、可行性程度高的得</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p>
          <w:p w14:paraId="6A6DFFEE">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（2）质量保证方案及措施编写较合理、逻辑较清晰、可行性程度一般的得</w:t>
            </w: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w:t>
            </w:r>
          </w:p>
          <w:p w14:paraId="692C5425">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（3）质量保证方案及措施编写一般、但基本合理、逻辑一般清晰、可行性程度一般的得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w:t>
            </w:r>
          </w:p>
          <w:p w14:paraId="202F8569">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（4）质量保证方案及措施编写简单、不合理、逻辑混乱、可行性程度差的得1分；</w:t>
            </w:r>
          </w:p>
          <w:p w14:paraId="06FF16C5">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（5）不提供得0分。</w:t>
            </w:r>
          </w:p>
        </w:tc>
      </w:tr>
      <w:tr w14:paraId="3D2055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1178" w:type="dxa"/>
            <w:vMerge w:val="continue"/>
            <w:tcBorders>
              <w:tl2br w:val="nil"/>
              <w:tr2bl w:val="nil"/>
            </w:tcBorders>
            <w:vAlign w:val="center"/>
          </w:tcPr>
          <w:p w14:paraId="2527C144">
            <w:pPr>
              <w:keepNext w:val="0"/>
              <w:keepLines w:val="0"/>
              <w:pageBreakBefore w:val="0"/>
              <w:kinsoku/>
              <w:wordWrap/>
              <w:overflowPunct/>
              <w:topLinePunct w:val="0"/>
              <w:bidi w:val="0"/>
              <w:adjustRightInd w:val="0"/>
              <w:snapToGrid w:val="0"/>
              <w:spacing w:line="440" w:lineRule="exact"/>
              <w:textAlignment w:val="auto"/>
              <w:rPr>
                <w:rFonts w:hint="eastAsia" w:ascii="宋体" w:hAnsi="宋体" w:eastAsia="宋体" w:cs="宋体"/>
                <w:b/>
                <w:color w:val="000000" w:themeColor="text1"/>
                <w:sz w:val="21"/>
                <w:szCs w:val="21"/>
                <w:highlight w:val="none"/>
                <w14:textFill>
                  <w14:solidFill>
                    <w14:schemeClr w14:val="tx1"/>
                  </w14:solidFill>
                </w14:textFill>
              </w:rPr>
            </w:pPr>
          </w:p>
        </w:tc>
        <w:tc>
          <w:tcPr>
            <w:tcW w:w="1273" w:type="dxa"/>
            <w:tcBorders>
              <w:tl2br w:val="nil"/>
              <w:tr2bl w:val="nil"/>
            </w:tcBorders>
            <w:vAlign w:val="center"/>
          </w:tcPr>
          <w:p w14:paraId="4E0BF8A6">
            <w:pPr>
              <w:pStyle w:val="100"/>
              <w:keepNext w:val="0"/>
              <w:keepLines w:val="0"/>
              <w:pageBreakBefore w:val="0"/>
              <w:tabs>
                <w:tab w:val="left" w:pos="900"/>
              </w:tabs>
              <w:kinsoku/>
              <w:wordWrap/>
              <w:overflowPunct/>
              <w:topLinePunct w:val="0"/>
              <w:bidi w:val="0"/>
              <w:spacing w:line="440" w:lineRule="exact"/>
              <w:ind w:lef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售后服务方案内容及措施（</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6819" w:type="dxa"/>
            <w:tcBorders>
              <w:tl2br w:val="nil"/>
              <w:tr2bl w:val="nil"/>
            </w:tcBorders>
            <w:vAlign w:val="center"/>
          </w:tcPr>
          <w:p w14:paraId="596A1F1F">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根据供应商的售后服务方案内容及措施应考虑质保期内和质保期外，包括服务方式、应急措施、人员保障、响应时间、维修备品备件等进行综合评分：</w:t>
            </w:r>
          </w:p>
          <w:p w14:paraId="4963C54A">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（1）售后服务内容及措施详尽、合理、逻辑较清晰、可行性程度高的得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分；</w:t>
            </w:r>
          </w:p>
          <w:p w14:paraId="546F300F">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（2）售后服务内容及措施较详尽、基本合理、逻辑清晰、具有可行性程度的得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w:t>
            </w:r>
          </w:p>
          <w:p w14:paraId="0BF6D3B4">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（3）售后服务内容及措施一般、合理性一般、逻辑性一般、可行性程度一般的得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w:t>
            </w:r>
          </w:p>
          <w:p w14:paraId="473CCE4C">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（4）售后服务方案内容及措施简单、不合理、逻辑混乱、可行性程度差的得1分；</w:t>
            </w:r>
          </w:p>
          <w:p w14:paraId="1767EA2F">
            <w:pPr>
              <w:pStyle w:val="100"/>
              <w:keepNext w:val="0"/>
              <w:keepLines w:val="0"/>
              <w:pageBreakBefore w:val="0"/>
              <w:tabs>
                <w:tab w:val="left" w:pos="900"/>
              </w:tabs>
              <w:kinsoku/>
              <w:wordWrap/>
              <w:overflowPunct/>
              <w:topLinePunct w:val="0"/>
              <w:bidi w:val="0"/>
              <w:spacing w:line="440" w:lineRule="exact"/>
              <w:ind w:left="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（5）不提供得0分。</w:t>
            </w:r>
          </w:p>
        </w:tc>
      </w:tr>
      <w:tr w14:paraId="28F3A5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78" w:type="dxa"/>
            <w:vMerge w:val="continue"/>
            <w:tcBorders>
              <w:tl2br w:val="nil"/>
              <w:tr2bl w:val="nil"/>
            </w:tcBorders>
            <w:vAlign w:val="center"/>
          </w:tcPr>
          <w:p w14:paraId="0712B613">
            <w:pPr>
              <w:keepNext w:val="0"/>
              <w:keepLines w:val="0"/>
              <w:pageBreakBefore w:val="0"/>
              <w:kinsoku/>
              <w:wordWrap/>
              <w:overflowPunct/>
              <w:topLinePunct w:val="0"/>
              <w:bidi w:val="0"/>
              <w:adjustRightInd w:val="0"/>
              <w:snapToGrid w:val="0"/>
              <w:spacing w:line="440" w:lineRule="exact"/>
              <w:textAlignment w:val="auto"/>
              <w:rPr>
                <w:rFonts w:hint="eastAsia" w:ascii="宋体" w:hAnsi="宋体" w:eastAsia="宋体" w:cs="宋体"/>
                <w:b/>
                <w:color w:val="000000" w:themeColor="text1"/>
                <w:sz w:val="21"/>
                <w:szCs w:val="21"/>
                <w:highlight w:val="none"/>
                <w14:textFill>
                  <w14:solidFill>
                    <w14:schemeClr w14:val="tx1"/>
                  </w14:solidFill>
                </w14:textFill>
              </w:rPr>
            </w:pPr>
          </w:p>
        </w:tc>
        <w:tc>
          <w:tcPr>
            <w:tcW w:w="1273" w:type="dxa"/>
            <w:tcBorders>
              <w:tl2br w:val="nil"/>
              <w:tr2bl w:val="nil"/>
            </w:tcBorders>
            <w:vAlign w:val="center"/>
          </w:tcPr>
          <w:p w14:paraId="5937E2F9">
            <w:pPr>
              <w:pStyle w:val="100"/>
              <w:keepNext w:val="0"/>
              <w:keepLines w:val="0"/>
              <w:pageBreakBefore w:val="0"/>
              <w:tabs>
                <w:tab w:val="left" w:pos="900"/>
              </w:tabs>
              <w:kinsoku/>
              <w:wordWrap/>
              <w:overflowPunct/>
              <w:topLinePunct w:val="0"/>
              <w:bidi w:val="0"/>
              <w:spacing w:line="440" w:lineRule="exact"/>
              <w:ind w:lef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验收方案</w:t>
            </w:r>
          </w:p>
          <w:p w14:paraId="685AD685">
            <w:pPr>
              <w:pStyle w:val="100"/>
              <w:keepNext w:val="0"/>
              <w:keepLines w:val="0"/>
              <w:pageBreakBefore w:val="0"/>
              <w:tabs>
                <w:tab w:val="left" w:pos="900"/>
              </w:tabs>
              <w:kinsoku/>
              <w:wordWrap/>
              <w:overflowPunct/>
              <w:topLinePunct w:val="0"/>
              <w:bidi w:val="0"/>
              <w:spacing w:line="440" w:lineRule="exact"/>
              <w:ind w:lef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6819" w:type="dxa"/>
            <w:tcBorders>
              <w:tl2br w:val="nil"/>
              <w:tr2bl w:val="nil"/>
            </w:tcBorders>
            <w:vAlign w:val="center"/>
          </w:tcPr>
          <w:p w14:paraId="6DF606D7">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根据供应商针对本项目所提供的后期验收方案内容进行综合评分:</w:t>
            </w:r>
          </w:p>
          <w:p w14:paraId="3B01982B">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bookmarkStart w:id="113" w:name="OLE_LINK2"/>
            <w:r>
              <w:rPr>
                <w:rFonts w:hint="eastAsia" w:ascii="宋体" w:hAnsi="宋体" w:eastAsia="宋体" w:cs="宋体"/>
                <w:color w:val="000000" w:themeColor="text1"/>
                <w:sz w:val="21"/>
                <w:szCs w:val="21"/>
                <w:highlight w:val="none"/>
                <w14:textFill>
                  <w14:solidFill>
                    <w14:schemeClr w14:val="tx1"/>
                  </w14:solidFill>
                </w14:textFill>
              </w:rPr>
              <w:t>（1）内容详尽、合理、逻辑较清晰、可行性程度高的得</w:t>
            </w: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p>
          <w:bookmarkEnd w:id="113"/>
          <w:p w14:paraId="70E9397D">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（2）内容较合理、逻辑清晰、可行性程度一般的得</w:t>
            </w: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w:t>
            </w:r>
          </w:p>
          <w:p w14:paraId="5EE47DE6">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（3）内容一般、但基本合理、逻辑清晰、可行性程度一般的得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w:t>
            </w:r>
          </w:p>
          <w:p w14:paraId="2DB6675F">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bookmarkStart w:id="114" w:name="OLE_LINK5"/>
            <w:r>
              <w:rPr>
                <w:rFonts w:hint="eastAsia" w:ascii="宋体" w:hAnsi="宋体" w:eastAsia="宋体" w:cs="宋体"/>
                <w:color w:val="000000" w:themeColor="text1"/>
                <w:sz w:val="21"/>
                <w:szCs w:val="21"/>
                <w:highlight w:val="none"/>
                <w14:textFill>
                  <w14:solidFill>
                    <w14:schemeClr w14:val="tx1"/>
                  </w14:solidFill>
                </w14:textFill>
              </w:rPr>
              <w:t>内容简单、不合理、逻辑混乱、可行性程度差的得1分；</w:t>
            </w:r>
            <w:bookmarkEnd w:id="114"/>
          </w:p>
          <w:p w14:paraId="7EB90958">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bookmarkStart w:id="115" w:name="OLE_LINK4"/>
            <w:r>
              <w:rPr>
                <w:rFonts w:hint="eastAsia" w:ascii="宋体" w:hAnsi="宋体" w:eastAsia="宋体" w:cs="宋体"/>
                <w:color w:val="000000" w:themeColor="text1"/>
                <w:sz w:val="21"/>
                <w:szCs w:val="21"/>
                <w:highlight w:val="none"/>
                <w14:textFill>
                  <w14:solidFill>
                    <w14:schemeClr w14:val="tx1"/>
                  </w14:solidFill>
                </w14:textFill>
              </w:rPr>
              <w:t>（5）不提供得0分。</w:t>
            </w:r>
            <w:bookmarkEnd w:id="115"/>
          </w:p>
        </w:tc>
      </w:tr>
      <w:tr w14:paraId="4BC4A7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78" w:type="dxa"/>
            <w:vMerge w:val="continue"/>
            <w:tcBorders>
              <w:tl2br w:val="nil"/>
              <w:tr2bl w:val="nil"/>
            </w:tcBorders>
            <w:vAlign w:val="center"/>
          </w:tcPr>
          <w:p w14:paraId="48DE0653">
            <w:pPr>
              <w:keepNext w:val="0"/>
              <w:keepLines w:val="0"/>
              <w:pageBreakBefore w:val="0"/>
              <w:kinsoku/>
              <w:wordWrap/>
              <w:overflowPunct/>
              <w:topLinePunct w:val="0"/>
              <w:bidi w:val="0"/>
              <w:adjustRightInd w:val="0"/>
              <w:snapToGrid w:val="0"/>
              <w:spacing w:line="440" w:lineRule="exact"/>
              <w:textAlignment w:val="auto"/>
              <w:rPr>
                <w:rFonts w:hint="eastAsia" w:ascii="宋体" w:hAnsi="宋体" w:eastAsia="宋体" w:cs="宋体"/>
                <w:b/>
                <w:color w:val="000000" w:themeColor="text1"/>
                <w:sz w:val="21"/>
                <w:szCs w:val="21"/>
                <w:highlight w:val="none"/>
                <w14:textFill>
                  <w14:solidFill>
                    <w14:schemeClr w14:val="tx1"/>
                  </w14:solidFill>
                </w14:textFill>
              </w:rPr>
            </w:pPr>
          </w:p>
        </w:tc>
        <w:tc>
          <w:tcPr>
            <w:tcW w:w="1273" w:type="dxa"/>
            <w:tcBorders>
              <w:tl2br w:val="nil"/>
              <w:tr2bl w:val="nil"/>
            </w:tcBorders>
            <w:vAlign w:val="center"/>
          </w:tcPr>
          <w:p w14:paraId="40F8A4AD">
            <w:pPr>
              <w:pStyle w:val="100"/>
              <w:keepNext w:val="0"/>
              <w:keepLines w:val="0"/>
              <w:pageBreakBefore w:val="0"/>
              <w:tabs>
                <w:tab w:val="left" w:pos="900"/>
              </w:tabs>
              <w:kinsoku/>
              <w:wordWrap/>
              <w:overflowPunct/>
              <w:topLinePunct w:val="0"/>
              <w:bidi w:val="0"/>
              <w:spacing w:line="440" w:lineRule="exact"/>
              <w:ind w:lef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质保期</w:t>
            </w:r>
          </w:p>
          <w:p w14:paraId="2D8B4409">
            <w:pPr>
              <w:keepNext w:val="0"/>
              <w:keepLines w:val="0"/>
              <w:pageBreakBefore w:val="0"/>
              <w:kinsoku/>
              <w:wordWrap/>
              <w:overflowPunct/>
              <w:topLinePunct w:val="0"/>
              <w:bidi w:val="0"/>
              <w:spacing w:line="44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6819" w:type="dxa"/>
            <w:tcBorders>
              <w:tl2br w:val="nil"/>
              <w:tr2bl w:val="nil"/>
            </w:tcBorders>
            <w:vAlign w:val="center"/>
          </w:tcPr>
          <w:p w14:paraId="398C45D3">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质保期满足招标文件要求的</w:t>
            </w:r>
            <w:r>
              <w:rPr>
                <w:rFonts w:hint="eastAsia" w:ascii="宋体" w:hAnsi="宋体" w:eastAsia="宋体" w:cs="宋体"/>
                <w:color w:val="000000" w:themeColor="text1"/>
                <w:sz w:val="21"/>
                <w:szCs w:val="21"/>
                <w:highlight w:val="none"/>
                <w:lang w:eastAsia="zh-CN"/>
                <w14:textFill>
                  <w14:solidFill>
                    <w14:schemeClr w14:val="tx1"/>
                  </w14:solidFill>
                </w14:textFill>
              </w:rPr>
              <w:t>不得分</w:t>
            </w:r>
            <w:r>
              <w:rPr>
                <w:rFonts w:hint="eastAsia" w:ascii="宋体" w:hAnsi="宋体" w:eastAsia="宋体" w:cs="宋体"/>
                <w:color w:val="000000" w:themeColor="text1"/>
                <w:sz w:val="21"/>
                <w:szCs w:val="21"/>
                <w:highlight w:val="none"/>
                <w14:textFill>
                  <w14:solidFill>
                    <w14:schemeClr w14:val="tx1"/>
                  </w14:solidFill>
                </w14:textFill>
              </w:rPr>
              <w:t>；每增加1年的加1分，最多加2分。</w:t>
            </w:r>
          </w:p>
        </w:tc>
      </w:tr>
      <w:tr w14:paraId="7407C7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78" w:type="dxa"/>
            <w:vMerge w:val="continue"/>
            <w:tcBorders>
              <w:tl2br w:val="nil"/>
              <w:tr2bl w:val="nil"/>
            </w:tcBorders>
            <w:vAlign w:val="center"/>
          </w:tcPr>
          <w:p w14:paraId="43E423FB">
            <w:pPr>
              <w:keepNext w:val="0"/>
              <w:keepLines w:val="0"/>
              <w:pageBreakBefore w:val="0"/>
              <w:kinsoku/>
              <w:wordWrap/>
              <w:overflowPunct/>
              <w:topLinePunct w:val="0"/>
              <w:bidi w:val="0"/>
              <w:adjustRightInd w:val="0"/>
              <w:snapToGrid w:val="0"/>
              <w:spacing w:line="440" w:lineRule="exact"/>
              <w:textAlignment w:val="auto"/>
              <w:rPr>
                <w:rFonts w:hint="eastAsia" w:ascii="宋体" w:hAnsi="宋体" w:eastAsia="宋体" w:cs="宋体"/>
                <w:b/>
                <w:color w:val="000000" w:themeColor="text1"/>
                <w:sz w:val="21"/>
                <w:szCs w:val="21"/>
                <w:highlight w:val="none"/>
                <w14:textFill>
                  <w14:solidFill>
                    <w14:schemeClr w14:val="tx1"/>
                  </w14:solidFill>
                </w14:textFill>
              </w:rPr>
            </w:pPr>
          </w:p>
        </w:tc>
        <w:tc>
          <w:tcPr>
            <w:tcW w:w="1273" w:type="dxa"/>
            <w:tcBorders>
              <w:tl2br w:val="nil"/>
              <w:tr2bl w:val="nil"/>
            </w:tcBorders>
            <w:vAlign w:val="center"/>
          </w:tcPr>
          <w:p w14:paraId="15096E6C">
            <w:pPr>
              <w:pStyle w:val="100"/>
              <w:keepNext w:val="0"/>
              <w:keepLines w:val="0"/>
              <w:pageBreakBefore w:val="0"/>
              <w:tabs>
                <w:tab w:val="left" w:pos="900"/>
              </w:tabs>
              <w:kinsoku/>
              <w:wordWrap/>
              <w:overflowPunct/>
              <w:topLinePunct w:val="0"/>
              <w:bidi w:val="0"/>
              <w:spacing w:line="440" w:lineRule="exact"/>
              <w:ind w:lef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实训室文化施工方案</w:t>
            </w:r>
          </w:p>
          <w:p w14:paraId="2833534F">
            <w:pPr>
              <w:pStyle w:val="100"/>
              <w:keepNext w:val="0"/>
              <w:keepLines w:val="0"/>
              <w:pageBreakBefore w:val="0"/>
              <w:tabs>
                <w:tab w:val="left" w:pos="900"/>
              </w:tabs>
              <w:kinsoku/>
              <w:wordWrap/>
              <w:overflowPunct/>
              <w:topLinePunct w:val="0"/>
              <w:bidi w:val="0"/>
              <w:spacing w:line="440" w:lineRule="exact"/>
              <w:ind w:lef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6819" w:type="dxa"/>
            <w:tcBorders>
              <w:tl2br w:val="nil"/>
              <w:tr2bl w:val="nil"/>
            </w:tcBorders>
            <w:vAlign w:val="center"/>
          </w:tcPr>
          <w:p w14:paraId="4AE608B5">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根据供应商针对本项目</w:t>
            </w:r>
            <w:r>
              <w:rPr>
                <w:rFonts w:hint="eastAsia" w:ascii="宋体" w:hAnsi="宋体" w:eastAsia="宋体" w:cs="宋体"/>
                <w:color w:val="000000" w:themeColor="text1"/>
                <w:sz w:val="21"/>
                <w:szCs w:val="21"/>
                <w:highlight w:val="none"/>
                <w:lang w:val="en-US" w:eastAsia="zh-CN"/>
                <w14:textFill>
                  <w14:solidFill>
                    <w14:schemeClr w14:val="tx1"/>
                  </w14:solidFill>
                </w14:textFill>
              </w:rPr>
              <w:t>空间的物体及设备拆除、实训室文化建设等全部内容，结合整体施工流程、质量保障措施、安全文明施工方案及针对性优化建议等进行综合</w:t>
            </w:r>
            <w:r>
              <w:rPr>
                <w:rFonts w:hint="eastAsia" w:ascii="宋体" w:hAnsi="宋体" w:eastAsia="宋体" w:cs="宋体"/>
                <w:color w:val="000000" w:themeColor="text1"/>
                <w:sz w:val="21"/>
                <w:szCs w:val="21"/>
                <w:highlight w:val="none"/>
                <w14:textFill>
                  <w14:solidFill>
                    <w14:schemeClr w14:val="tx1"/>
                  </w14:solidFill>
                </w14:textFill>
              </w:rPr>
              <w:t>评分</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43DE1939">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方案完整详实、针对性强、安全及质量保障措施完善的得6分；</w:t>
            </w:r>
          </w:p>
          <w:p w14:paraId="60B14580">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val="en-US" w:eastAsia="zh-CN"/>
                <w14:textFill>
                  <w14:solidFill>
                    <w14:schemeClr w14:val="tx1"/>
                  </w14:solidFill>
                </w14:textFill>
              </w:rPr>
              <w:t>方案较完整、具备针对性及保障措施可行的得4分；</w:t>
            </w:r>
          </w:p>
          <w:p w14:paraId="045BB856">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方案一般、针对性不强、存在明显缺陷的得2分；</w:t>
            </w:r>
          </w:p>
          <w:p w14:paraId="62ABC274">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r>
              <w:rPr>
                <w:rFonts w:hint="eastAsia" w:ascii="宋体" w:hAnsi="宋体" w:eastAsia="宋体" w:cs="宋体"/>
                <w:color w:val="000000" w:themeColor="text1"/>
                <w:sz w:val="21"/>
                <w:szCs w:val="21"/>
                <w:highlight w:val="none"/>
                <w:lang w:val="en-US" w:eastAsia="zh-CN"/>
                <w14:textFill>
                  <w14:solidFill>
                    <w14:schemeClr w14:val="tx1"/>
                  </w14:solidFill>
                </w14:textFill>
              </w:rPr>
              <w:t>方案不符合要求、可行性差的得1分；</w:t>
            </w:r>
          </w:p>
          <w:p w14:paraId="14D23007">
            <w:pPr>
              <w:keepNext w:val="0"/>
              <w:keepLines w:val="0"/>
              <w:pageBreakBefore w:val="0"/>
              <w:kinsoku/>
              <w:wordWrap/>
              <w:overflowPunct/>
              <w:topLinePunct w:val="0"/>
              <w:bidi w:val="0"/>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（5）不提供得0分。</w:t>
            </w:r>
          </w:p>
        </w:tc>
      </w:tr>
      <w:tr w14:paraId="0EFDBB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270" w:type="dxa"/>
            <w:gridSpan w:val="3"/>
            <w:tcBorders>
              <w:tl2br w:val="nil"/>
              <w:tr2bl w:val="nil"/>
            </w:tcBorders>
            <w:vAlign w:val="center"/>
          </w:tcPr>
          <w:p w14:paraId="6A9EF1ED">
            <w:pPr>
              <w:pStyle w:val="32"/>
              <w:keepNext w:val="0"/>
              <w:keepLines w:val="0"/>
              <w:pageBreakBefore w:val="0"/>
              <w:kinsoku/>
              <w:wordWrap/>
              <w:overflowPunct/>
              <w:topLinePunct w:val="0"/>
              <w:bidi w:val="0"/>
              <w:spacing w:line="440" w:lineRule="exact"/>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注：1、评委依据供应商投标文件的合理性、可行性、针对性进行评审并打分。</w:t>
            </w:r>
          </w:p>
          <w:p w14:paraId="5BBAE322">
            <w:pPr>
              <w:pStyle w:val="32"/>
              <w:keepNext w:val="0"/>
              <w:keepLines w:val="0"/>
              <w:pageBreakBefore w:val="0"/>
              <w:kinsoku/>
              <w:wordWrap/>
              <w:overflowPunct/>
              <w:topLinePunct w:val="0"/>
              <w:bidi w:val="0"/>
              <w:spacing w:line="440" w:lineRule="exact"/>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2、本办法计算过程中分值按四舍五入保留三位小数，结果保留两位小数。</w:t>
            </w:r>
          </w:p>
          <w:p w14:paraId="7F57E68B">
            <w:pPr>
              <w:pStyle w:val="32"/>
              <w:keepNext w:val="0"/>
              <w:keepLines w:val="0"/>
              <w:pageBreakBefore w:val="0"/>
              <w:kinsoku/>
              <w:wordWrap/>
              <w:overflowPunct/>
              <w:topLinePunct w:val="0"/>
              <w:bidi w:val="0"/>
              <w:spacing w:line="440" w:lineRule="exact"/>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3、供应商最终得分：各评委综合打分的算术平均值。</w:t>
            </w:r>
          </w:p>
        </w:tc>
      </w:tr>
    </w:tbl>
    <w:p w14:paraId="0725E24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cs="宋体"/>
          <w:b w:val="0"/>
          <w:bCs/>
          <w:color w:val="000000"/>
          <w:kern w:val="0"/>
          <w:sz w:val="24"/>
          <w:szCs w:val="24"/>
          <w:highlight w:val="none"/>
          <w:lang w:val="en-US" w:eastAsia="zh-CN" w:bidi="ar"/>
        </w:rPr>
      </w:pPr>
      <w:r>
        <w:rPr>
          <w:rFonts w:hint="eastAsia" w:ascii="宋体" w:hAnsi="宋体" w:cs="宋体"/>
          <w:b/>
          <w:bCs w:val="0"/>
          <w:color w:val="000000"/>
          <w:kern w:val="0"/>
          <w:sz w:val="24"/>
          <w:szCs w:val="24"/>
          <w:highlight w:val="none"/>
          <w:lang w:val="en-US" w:eastAsia="zh-CN" w:bidi="ar"/>
        </w:rPr>
        <w:t>注：</w:t>
      </w:r>
      <w:r>
        <w:rPr>
          <w:rFonts w:hint="eastAsia" w:ascii="宋体" w:hAnsi="宋体" w:cs="宋体"/>
          <w:b w:val="0"/>
          <w:bCs/>
          <w:color w:val="000000"/>
          <w:kern w:val="0"/>
          <w:sz w:val="24"/>
          <w:szCs w:val="24"/>
          <w:highlight w:val="none"/>
          <w:lang w:val="en-US" w:eastAsia="zh-CN" w:bidi="ar"/>
        </w:rPr>
        <w:t>（1）根据财政部、工业和信息化部印发的《政府采购促进中小企业发展管理办法》（财库[2020]46号）的规定，对小型和微型企业产品的价格给予20%的扣除（工程项目为5%），用扣除后的价格参与评审。</w:t>
      </w:r>
    </w:p>
    <w:p w14:paraId="156727E3">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b w:val="0"/>
          <w:bCs/>
          <w:color w:val="000000"/>
          <w:kern w:val="0"/>
          <w:sz w:val="24"/>
          <w:szCs w:val="24"/>
          <w:highlight w:val="none"/>
          <w:lang w:val="en-US" w:eastAsia="zh-CN" w:bidi="ar"/>
        </w:rPr>
      </w:pPr>
      <w:r>
        <w:rPr>
          <w:rFonts w:hint="eastAsia" w:ascii="宋体" w:hAnsi="宋体" w:cs="宋体"/>
          <w:b w:val="0"/>
          <w:bCs/>
          <w:color w:val="000000"/>
          <w:kern w:val="0"/>
          <w:sz w:val="24"/>
          <w:szCs w:val="24"/>
          <w:highlight w:val="none"/>
          <w:lang w:val="en-US" w:eastAsia="zh-CN" w:bidi="ar"/>
        </w:rPr>
        <w:t>（2）在政府采购活动中，供应商提供的货物、工程或者服务符合下列情形的，享受本办法规定的中小企业扶持政策：</w:t>
      </w:r>
    </w:p>
    <w:p w14:paraId="3C7293C8">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b w:val="0"/>
          <w:bCs/>
          <w:color w:val="000000"/>
          <w:kern w:val="0"/>
          <w:sz w:val="24"/>
          <w:szCs w:val="24"/>
          <w:highlight w:val="none"/>
          <w:lang w:val="en-US" w:eastAsia="zh-CN" w:bidi="ar"/>
        </w:rPr>
      </w:pPr>
      <w:r>
        <w:rPr>
          <w:rFonts w:hint="eastAsia" w:ascii="宋体" w:hAnsi="宋体" w:cs="宋体"/>
          <w:b w:val="0"/>
          <w:bCs/>
          <w:color w:val="000000"/>
          <w:kern w:val="0"/>
          <w:sz w:val="24"/>
          <w:szCs w:val="24"/>
          <w:highlight w:val="none"/>
          <w:lang w:val="en-US" w:eastAsia="zh-CN" w:bidi="ar"/>
        </w:rPr>
        <w:t>（一）在货物采购项目中，货物由中小企业制造，即货物由中小企业生产且使用该中小企业商号或者注册商标；</w:t>
      </w:r>
    </w:p>
    <w:p w14:paraId="02C5F324">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b w:val="0"/>
          <w:bCs/>
          <w:color w:val="000000"/>
          <w:kern w:val="0"/>
          <w:sz w:val="24"/>
          <w:szCs w:val="24"/>
          <w:highlight w:val="none"/>
          <w:lang w:val="en-US" w:eastAsia="zh-CN" w:bidi="ar"/>
        </w:rPr>
      </w:pPr>
      <w:r>
        <w:rPr>
          <w:rFonts w:hint="eastAsia" w:ascii="宋体" w:hAnsi="宋体" w:cs="宋体"/>
          <w:b w:val="0"/>
          <w:bCs/>
          <w:color w:val="000000"/>
          <w:kern w:val="0"/>
          <w:sz w:val="24"/>
          <w:szCs w:val="24"/>
          <w:highlight w:val="none"/>
          <w:lang w:val="en-US" w:eastAsia="zh-CN" w:bidi="ar"/>
        </w:rPr>
        <w:t>（二）在工程采购项目中，工程由中小企业承建，即工程施工单位为中小企业；</w:t>
      </w:r>
    </w:p>
    <w:p w14:paraId="0A09A4FA">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b w:val="0"/>
          <w:bCs/>
          <w:color w:val="000000"/>
          <w:kern w:val="0"/>
          <w:sz w:val="24"/>
          <w:szCs w:val="24"/>
          <w:highlight w:val="none"/>
          <w:lang w:val="en-US" w:eastAsia="zh-CN" w:bidi="ar"/>
        </w:rPr>
      </w:pPr>
      <w:r>
        <w:rPr>
          <w:rFonts w:hint="eastAsia" w:ascii="宋体" w:hAnsi="宋体" w:cs="宋体"/>
          <w:b w:val="0"/>
          <w:bCs/>
          <w:color w:val="000000"/>
          <w:kern w:val="0"/>
          <w:sz w:val="24"/>
          <w:szCs w:val="24"/>
          <w:highlight w:val="none"/>
          <w:lang w:val="en-US" w:eastAsia="zh-CN" w:bidi="ar"/>
        </w:rPr>
        <w:t>（三）在服务采购项目中，服务由中小企业承接，即提供服务的人员为中小企业依照《中华人民共和国劳动合同法》订立劳动合同的从业人员。</w:t>
      </w:r>
    </w:p>
    <w:p w14:paraId="3FA7B679">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b w:val="0"/>
          <w:bCs/>
          <w:color w:val="000000"/>
          <w:kern w:val="0"/>
          <w:sz w:val="24"/>
          <w:szCs w:val="24"/>
          <w:highlight w:val="none"/>
          <w:lang w:val="en-US" w:eastAsia="zh-CN" w:bidi="ar"/>
        </w:rPr>
      </w:pPr>
      <w:r>
        <w:rPr>
          <w:rFonts w:hint="eastAsia" w:ascii="宋体" w:hAnsi="宋体" w:cs="宋体"/>
          <w:b w:val="0"/>
          <w:bCs/>
          <w:color w:val="000000"/>
          <w:kern w:val="0"/>
          <w:sz w:val="24"/>
          <w:szCs w:val="24"/>
          <w:highlight w:val="none"/>
          <w:lang w:val="en-US" w:eastAsia="zh-CN" w:bidi="ar"/>
        </w:rPr>
        <w:t>在货物采购项目中，供应商提供的货物既有中小企业制造货物，也有大型企业制造货物的，不享受本办法规定的中小企业扶持政策。</w:t>
      </w:r>
    </w:p>
    <w:p w14:paraId="0BD98BB2">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b w:val="0"/>
          <w:bCs/>
          <w:color w:val="000000"/>
          <w:kern w:val="0"/>
          <w:sz w:val="24"/>
          <w:szCs w:val="24"/>
          <w:highlight w:val="none"/>
          <w:lang w:val="en-US" w:eastAsia="zh-CN" w:bidi="ar"/>
        </w:rPr>
      </w:pPr>
      <w:r>
        <w:rPr>
          <w:rFonts w:hint="eastAsia" w:ascii="宋体" w:hAnsi="宋体" w:cs="宋体"/>
          <w:b w:val="0"/>
          <w:bCs/>
          <w:color w:val="000000"/>
          <w:kern w:val="0"/>
          <w:sz w:val="24"/>
          <w:szCs w:val="24"/>
          <w:highlight w:val="none"/>
          <w:lang w:val="en-US" w:eastAsia="zh-CN" w:bidi="ar"/>
        </w:rPr>
        <w:t>以联合体形式参加政府采购活动，联合体各方均为中小企业的，联合体视同中小企业。其中，联合体各方均为小微企业的，联合体视同小微企业。</w:t>
      </w:r>
    </w:p>
    <w:p w14:paraId="37D84247">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b w:val="0"/>
          <w:bCs/>
          <w:color w:val="000000"/>
          <w:kern w:val="0"/>
          <w:sz w:val="24"/>
          <w:szCs w:val="24"/>
          <w:highlight w:val="none"/>
          <w:lang w:val="en-US" w:eastAsia="zh-CN" w:bidi="ar"/>
        </w:rPr>
      </w:pPr>
      <w:r>
        <w:rPr>
          <w:rFonts w:hint="eastAsia" w:ascii="宋体" w:hAnsi="宋体" w:cs="宋体"/>
          <w:b w:val="0"/>
          <w:bCs/>
          <w:color w:val="000000"/>
          <w:kern w:val="0"/>
          <w:sz w:val="24"/>
          <w:szCs w:val="24"/>
          <w:highlight w:val="none"/>
          <w:lang w:val="en-US" w:eastAsia="zh-CN" w:bidi="ar"/>
        </w:rPr>
        <w:t>中小企业参加政府采购活动，应当出具《中小企业声明函》，否则不得享受相关中小企业扶持政策。任何单位和个人不得要求供应商提供《中小企业声明函》之外的中小企业身份证明文件。</w:t>
      </w:r>
    </w:p>
    <w:p w14:paraId="6F5C520A">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b w:val="0"/>
          <w:bCs/>
          <w:color w:val="000000"/>
          <w:kern w:val="0"/>
          <w:sz w:val="24"/>
          <w:szCs w:val="24"/>
          <w:highlight w:val="none"/>
          <w:lang w:val="en-US" w:eastAsia="zh-CN" w:bidi="ar"/>
        </w:rPr>
      </w:pPr>
      <w:r>
        <w:rPr>
          <w:rFonts w:hint="eastAsia" w:ascii="宋体" w:hAnsi="宋体" w:cs="宋体"/>
          <w:b w:val="0"/>
          <w:bCs/>
          <w:color w:val="000000"/>
          <w:kern w:val="0"/>
          <w:sz w:val="24"/>
          <w:szCs w:val="24"/>
          <w:highlight w:val="none"/>
          <w:lang w:val="en-US" w:eastAsia="zh-CN" w:bidi="ar"/>
        </w:rPr>
        <w:t>（四）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提供由省级以上监狱管理局、戒毒管理局(含新疆生产建设兵团)出具的属于监狱企业的证明文件，不再提供《中小微企业声明函》。</w:t>
      </w:r>
    </w:p>
    <w:p w14:paraId="6F58F489">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b w:val="0"/>
          <w:bCs/>
          <w:color w:val="000000"/>
          <w:kern w:val="0"/>
          <w:sz w:val="24"/>
          <w:szCs w:val="24"/>
          <w:highlight w:val="none"/>
          <w:lang w:val="en-US" w:eastAsia="zh-CN" w:bidi="ar"/>
        </w:rPr>
      </w:pPr>
      <w:r>
        <w:rPr>
          <w:rFonts w:hint="eastAsia" w:ascii="宋体" w:hAnsi="宋体" w:cs="宋体"/>
          <w:b w:val="0"/>
          <w:bCs/>
          <w:color w:val="000000"/>
          <w:kern w:val="0"/>
          <w:sz w:val="24"/>
          <w:szCs w:val="24"/>
          <w:highlight w:val="none"/>
          <w:lang w:val="en-US" w:eastAsia="zh-CN" w:bidi="ar"/>
        </w:rPr>
        <w:t>（五）残疾人福利性单位视同小型或微型企业（投标人若为残疾人福利性单位，须按规定提供《残疾人福利性单位声明函》（见投标文件格式部分），并对其真实性负责；）</w:t>
      </w:r>
    </w:p>
    <w:p w14:paraId="1319AED2">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b w:val="0"/>
          <w:bCs/>
          <w:color w:val="000000"/>
          <w:kern w:val="0"/>
          <w:sz w:val="24"/>
          <w:szCs w:val="24"/>
          <w:highlight w:val="none"/>
          <w:lang w:val="en-US" w:eastAsia="zh-CN" w:bidi="ar"/>
        </w:rPr>
      </w:pPr>
      <w:r>
        <w:rPr>
          <w:rFonts w:hint="eastAsia" w:ascii="宋体" w:hAnsi="宋体" w:cs="宋体"/>
          <w:b w:val="0"/>
          <w:bCs/>
          <w:color w:val="000000"/>
          <w:kern w:val="0"/>
          <w:sz w:val="24"/>
          <w:szCs w:val="24"/>
          <w:highlight w:val="none"/>
          <w:lang w:val="en-US" w:eastAsia="zh-CN" w:bidi="ar"/>
        </w:rPr>
        <w:t>同一投标人，小型企业或微型企业、监狱企业、残疾人福利性单位价格扣除优惠只享受一次，不得重复享受。</w:t>
      </w:r>
    </w:p>
    <w:p w14:paraId="3C7EF05D">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b w:val="0"/>
          <w:bCs/>
          <w:color w:val="000000" w:themeColor="text1"/>
          <w:sz w:val="24"/>
          <w:highlight w:val="none"/>
          <w14:textFill>
            <w14:solidFill>
              <w14:schemeClr w14:val="tx1"/>
            </w14:solidFill>
          </w14:textFill>
        </w:rPr>
      </w:pPr>
      <w:r>
        <w:rPr>
          <w:rFonts w:hint="eastAsia" w:ascii="宋体" w:hAnsi="宋体" w:cs="宋体"/>
          <w:b w:val="0"/>
          <w:bCs/>
          <w:color w:val="000000"/>
          <w:kern w:val="0"/>
          <w:sz w:val="24"/>
          <w:szCs w:val="24"/>
          <w:highlight w:val="none"/>
          <w:lang w:val="en-US" w:eastAsia="zh-CN" w:bidi="ar"/>
        </w:rPr>
        <w:t>（3）根据《关于在政府采购中实施本国产品标准及相关政策的通知》（国办发〔2025〕34号），供应商对其提供的产品出具《关于符合本国产品标准的声明函》或财政部会同有关部门规定的有关证明文件,评审时对本国产品的报价给予20%的价格扣除，用扣除后的价格参与评审，未提供声明函或有关证明文件的不予认可。</w:t>
      </w:r>
    </w:p>
    <w:bookmarkEnd w:id="111"/>
    <w:p w14:paraId="61A1E800">
      <w:pPr>
        <w:bidi w:val="0"/>
        <w:jc w:val="center"/>
        <w:rPr>
          <w:rFonts w:hint="eastAsia" w:ascii="宋体" w:hAnsi="宋体"/>
          <w:color w:val="000000" w:themeColor="text1"/>
          <w:sz w:val="36"/>
          <w:szCs w:val="36"/>
          <w:highlight w:val="none"/>
          <w14:textFill>
            <w14:solidFill>
              <w14:schemeClr w14:val="tx1"/>
            </w14:solidFill>
          </w14:textFill>
        </w:rPr>
      </w:pPr>
      <w:bookmarkStart w:id="116" w:name="_Toc28948"/>
      <w:bookmarkEnd w:id="116"/>
      <w:r>
        <w:rPr>
          <w:rFonts w:hint="eastAsia" w:ascii="宋体" w:hAnsi="宋体"/>
          <w:color w:val="000000" w:themeColor="text1"/>
          <w:sz w:val="36"/>
          <w:szCs w:val="36"/>
          <w:highlight w:val="none"/>
          <w14:textFill>
            <w14:solidFill>
              <w14:schemeClr w14:val="tx1"/>
            </w14:solidFill>
          </w14:textFill>
        </w:rPr>
        <w:br w:type="page"/>
      </w:r>
      <w:bookmarkStart w:id="117" w:name="_Toc14014"/>
      <w:r>
        <w:rPr>
          <w:rFonts w:hint="eastAsia" w:ascii="宋体" w:hAnsi="宋体"/>
          <w:b/>
          <w:bCs/>
          <w:color w:val="000000" w:themeColor="text1"/>
          <w:kern w:val="44"/>
          <w:sz w:val="36"/>
          <w:szCs w:val="36"/>
          <w:highlight w:val="none"/>
          <w14:textFill>
            <w14:solidFill>
              <w14:schemeClr w14:val="tx1"/>
            </w14:solidFill>
          </w14:textFill>
        </w:rPr>
        <w:t>第四章  合同条款及格式</w:t>
      </w:r>
      <w:bookmarkEnd w:id="117"/>
    </w:p>
    <w:p w14:paraId="2D2CBEAA">
      <w:pPr>
        <w:bidi w:val="0"/>
        <w:rPr>
          <w:rFonts w:hint="eastAsia"/>
        </w:rPr>
      </w:pPr>
    </w:p>
    <w:p w14:paraId="6E6ECF30">
      <w:pPr>
        <w:spacing w:line="360" w:lineRule="auto"/>
        <w:ind w:firstLine="2400" w:firstLineChars="1000"/>
        <w:outlineLvl w:val="9"/>
        <w:rPr>
          <w:rStyle w:val="165"/>
          <w:rFonts w:hint="eastAsia" w:ascii="宋体" w:hAnsi="宋体" w:eastAsia="宋体" w:cs="宋体"/>
          <w:color w:val="000000"/>
          <w:sz w:val="24"/>
          <w:szCs w:val="24"/>
        </w:rPr>
      </w:pPr>
    </w:p>
    <w:p w14:paraId="1B771F3F">
      <w:pPr>
        <w:spacing w:line="360" w:lineRule="auto"/>
        <w:ind w:firstLine="3600" w:firstLineChars="1000"/>
        <w:outlineLvl w:val="9"/>
        <w:rPr>
          <w:rStyle w:val="165"/>
          <w:rFonts w:hint="eastAsia" w:ascii="宋体" w:hAnsi="宋体" w:eastAsia="宋体" w:cs="宋体"/>
          <w:color w:val="000000"/>
          <w:sz w:val="36"/>
          <w:szCs w:val="36"/>
        </w:rPr>
      </w:pPr>
      <w:r>
        <w:rPr>
          <w:rStyle w:val="165"/>
          <w:rFonts w:hint="eastAsia" w:ascii="宋体" w:hAnsi="宋体" w:eastAsia="宋体" w:cs="宋体"/>
          <w:color w:val="000000"/>
          <w:sz w:val="36"/>
          <w:szCs w:val="36"/>
        </w:rPr>
        <w:t>（仅供参考）</w:t>
      </w:r>
    </w:p>
    <w:p w14:paraId="4F3EBEDB">
      <w:pPr>
        <w:pStyle w:val="167"/>
        <w:ind w:firstLine="0" w:firstLineChars="0"/>
        <w:rPr>
          <w:rFonts w:hint="eastAsia" w:ascii="宋体" w:hAnsi="宋体" w:eastAsia="宋体" w:cs="宋体"/>
          <w:sz w:val="36"/>
          <w:szCs w:val="36"/>
        </w:rPr>
      </w:pPr>
    </w:p>
    <w:p w14:paraId="3EA298CB">
      <w:pPr>
        <w:pStyle w:val="167"/>
        <w:ind w:firstLine="0" w:firstLineChars="0"/>
        <w:rPr>
          <w:rFonts w:hint="eastAsia" w:ascii="宋体" w:hAnsi="宋体" w:eastAsia="宋体" w:cs="宋体"/>
          <w:sz w:val="36"/>
          <w:szCs w:val="36"/>
        </w:rPr>
      </w:pPr>
    </w:p>
    <w:p w14:paraId="58DC65AA">
      <w:pPr>
        <w:pStyle w:val="105"/>
        <w:adjustRightInd w:val="0"/>
        <w:snapToGrid w:val="0"/>
        <w:spacing w:line="336" w:lineRule="auto"/>
        <w:rPr>
          <w:rFonts w:hint="eastAsia" w:ascii="宋体" w:hAnsi="宋体" w:eastAsia="宋体" w:cs="宋体"/>
          <w:bCs/>
          <w:color w:val="000000"/>
          <w:sz w:val="36"/>
          <w:szCs w:val="36"/>
        </w:rPr>
      </w:pPr>
      <w:bookmarkStart w:id="118" w:name="_Toc30243"/>
      <w:bookmarkEnd w:id="118"/>
    </w:p>
    <w:p w14:paraId="2534E072">
      <w:pPr>
        <w:pStyle w:val="8"/>
        <w:jc w:val="center"/>
        <w:rPr>
          <w:rFonts w:hint="eastAsia" w:ascii="宋体" w:hAnsi="宋体" w:eastAsia="宋体" w:cs="宋体"/>
          <w:b/>
          <w:bCs/>
          <w:spacing w:val="-20"/>
          <w:kern w:val="44"/>
          <w:sz w:val="36"/>
          <w:szCs w:val="36"/>
        </w:rPr>
      </w:pPr>
      <w:bookmarkStart w:id="119" w:name="_Toc3995"/>
    </w:p>
    <w:p w14:paraId="17CEFF5B">
      <w:pPr>
        <w:pStyle w:val="8"/>
        <w:jc w:val="center"/>
        <w:rPr>
          <w:rFonts w:hint="eastAsia" w:ascii="宋体" w:hAnsi="宋体" w:eastAsia="宋体" w:cs="宋体"/>
          <w:b/>
          <w:bCs/>
          <w:spacing w:val="-20"/>
          <w:kern w:val="44"/>
          <w:sz w:val="36"/>
          <w:szCs w:val="36"/>
        </w:rPr>
      </w:pPr>
    </w:p>
    <w:p w14:paraId="2E91AD11">
      <w:pPr>
        <w:pStyle w:val="8"/>
        <w:jc w:val="center"/>
        <w:rPr>
          <w:rFonts w:hint="eastAsia" w:ascii="宋体" w:hAnsi="宋体" w:eastAsia="宋体" w:cs="宋体"/>
          <w:b/>
          <w:bCs/>
          <w:spacing w:val="-20"/>
          <w:kern w:val="44"/>
          <w:sz w:val="44"/>
          <w:szCs w:val="44"/>
        </w:rPr>
      </w:pPr>
      <w:r>
        <w:rPr>
          <w:rFonts w:hint="eastAsia" w:ascii="宋体" w:hAnsi="宋体" w:eastAsia="宋体" w:cs="宋体"/>
          <w:b/>
          <w:bCs/>
          <w:spacing w:val="-20"/>
          <w:kern w:val="44"/>
          <w:sz w:val="44"/>
          <w:szCs w:val="44"/>
        </w:rPr>
        <w:t>政府采购货物买卖合同</w:t>
      </w:r>
    </w:p>
    <w:p w14:paraId="39A924B6">
      <w:pPr>
        <w:pStyle w:val="8"/>
        <w:jc w:val="center"/>
        <w:rPr>
          <w:rFonts w:hint="eastAsia" w:ascii="宋体" w:hAnsi="宋体" w:eastAsia="宋体" w:cs="宋体"/>
          <w:b/>
          <w:bCs/>
          <w:spacing w:val="-20"/>
          <w:kern w:val="44"/>
          <w:sz w:val="36"/>
          <w:szCs w:val="36"/>
        </w:rPr>
      </w:pPr>
      <w:r>
        <w:rPr>
          <w:rFonts w:hint="eastAsia" w:ascii="宋体" w:hAnsi="宋体" w:eastAsia="宋体" w:cs="宋体"/>
          <w:b/>
          <w:bCs/>
          <w:spacing w:val="-20"/>
          <w:kern w:val="44"/>
          <w:sz w:val="44"/>
          <w:szCs w:val="44"/>
        </w:rPr>
        <w:t>（试行）</w:t>
      </w:r>
    </w:p>
    <w:p w14:paraId="5D8F8201">
      <w:pPr>
        <w:rPr>
          <w:rFonts w:hint="eastAsia" w:ascii="宋体" w:hAnsi="宋体" w:eastAsia="宋体" w:cs="宋体"/>
          <w:b/>
          <w:bCs/>
          <w:spacing w:val="-20"/>
          <w:kern w:val="44"/>
          <w:sz w:val="36"/>
          <w:szCs w:val="36"/>
        </w:rPr>
      </w:pPr>
    </w:p>
    <w:p w14:paraId="3E88207C">
      <w:pPr>
        <w:rPr>
          <w:rFonts w:hint="eastAsia" w:ascii="宋体" w:hAnsi="宋体" w:eastAsia="宋体" w:cs="宋体"/>
          <w:b/>
          <w:bCs/>
          <w:spacing w:val="-20"/>
          <w:kern w:val="44"/>
          <w:sz w:val="36"/>
          <w:szCs w:val="36"/>
        </w:rPr>
      </w:pPr>
    </w:p>
    <w:p w14:paraId="3F1DA9FA">
      <w:pPr>
        <w:rPr>
          <w:rFonts w:hint="eastAsia" w:ascii="宋体" w:hAnsi="宋体" w:eastAsia="宋体" w:cs="宋体"/>
          <w:b/>
          <w:bCs/>
          <w:spacing w:val="-20"/>
          <w:kern w:val="44"/>
          <w:sz w:val="36"/>
          <w:szCs w:val="36"/>
        </w:rPr>
      </w:pPr>
    </w:p>
    <w:p w14:paraId="5D11DD1B">
      <w:pPr>
        <w:rPr>
          <w:rFonts w:hint="eastAsia" w:ascii="宋体" w:hAnsi="宋体" w:eastAsia="宋体" w:cs="宋体"/>
          <w:b/>
          <w:bCs/>
          <w:spacing w:val="-20"/>
          <w:kern w:val="44"/>
          <w:sz w:val="36"/>
          <w:szCs w:val="36"/>
        </w:rPr>
      </w:pPr>
    </w:p>
    <w:p w14:paraId="3722669A">
      <w:pPr>
        <w:spacing w:line="360" w:lineRule="auto"/>
        <w:ind w:left="420" w:leftChars="200"/>
        <w:rPr>
          <w:rFonts w:hint="eastAsia" w:ascii="宋体" w:hAnsi="宋体" w:eastAsia="宋体" w:cs="宋体"/>
          <w:sz w:val="36"/>
          <w:szCs w:val="36"/>
        </w:rPr>
      </w:pPr>
      <w:r>
        <w:rPr>
          <w:rFonts w:hint="eastAsia" w:ascii="宋体" w:hAnsi="宋体" w:eastAsia="宋体" w:cs="宋体"/>
          <w:kern w:val="0"/>
          <w:sz w:val="36"/>
          <w:szCs w:val="36"/>
        </w:rPr>
        <w:t>项目名称：</w:t>
      </w:r>
      <w:r>
        <w:rPr>
          <w:rFonts w:hint="eastAsia" w:ascii="宋体" w:hAnsi="宋体" w:eastAsia="宋体" w:cs="宋体"/>
          <w:sz w:val="36"/>
          <w:szCs w:val="36"/>
          <w:u w:val="single"/>
        </w:rPr>
        <w:t xml:space="preserve">                             </w:t>
      </w:r>
    </w:p>
    <w:p w14:paraId="6DAC33A7">
      <w:pPr>
        <w:spacing w:line="360" w:lineRule="auto"/>
        <w:ind w:left="420" w:leftChars="200"/>
        <w:rPr>
          <w:rFonts w:hint="eastAsia" w:ascii="宋体" w:hAnsi="宋体" w:eastAsia="宋体" w:cs="宋体"/>
          <w:sz w:val="36"/>
          <w:szCs w:val="36"/>
          <w:u w:val="single"/>
        </w:rPr>
      </w:pPr>
      <w:r>
        <w:rPr>
          <w:rFonts w:hint="eastAsia" w:ascii="宋体" w:hAnsi="宋体" w:eastAsia="宋体" w:cs="宋体"/>
          <w:sz w:val="36"/>
          <w:szCs w:val="36"/>
        </w:rPr>
        <w:t>合同编号：</w:t>
      </w:r>
      <w:r>
        <w:rPr>
          <w:rFonts w:hint="eastAsia" w:ascii="宋体" w:hAnsi="宋体" w:eastAsia="宋体" w:cs="宋体"/>
          <w:sz w:val="36"/>
          <w:szCs w:val="36"/>
          <w:u w:val="single"/>
        </w:rPr>
        <w:t xml:space="preserve">                             </w:t>
      </w:r>
    </w:p>
    <w:p w14:paraId="4A254D8C">
      <w:pPr>
        <w:spacing w:line="360" w:lineRule="auto"/>
        <w:ind w:left="420" w:leftChars="200"/>
        <w:rPr>
          <w:rFonts w:hint="eastAsia" w:ascii="宋体" w:hAnsi="宋体" w:eastAsia="宋体" w:cs="宋体"/>
          <w:sz w:val="36"/>
          <w:szCs w:val="36"/>
        </w:rPr>
      </w:pPr>
      <w:r>
        <w:rPr>
          <w:rFonts w:hint="eastAsia" w:ascii="宋体" w:hAnsi="宋体" w:eastAsia="宋体" w:cs="宋体"/>
          <w:sz w:val="36"/>
          <w:szCs w:val="36"/>
        </w:rPr>
        <w:t>甲    方：</w:t>
      </w:r>
      <w:r>
        <w:rPr>
          <w:rFonts w:hint="eastAsia" w:ascii="宋体" w:hAnsi="宋体" w:eastAsia="宋体" w:cs="宋体"/>
          <w:sz w:val="36"/>
          <w:szCs w:val="36"/>
          <w:u w:val="single"/>
        </w:rPr>
        <w:t xml:space="preserve">                             </w:t>
      </w:r>
    </w:p>
    <w:p w14:paraId="4E09138C">
      <w:pPr>
        <w:spacing w:line="360" w:lineRule="auto"/>
        <w:ind w:left="420" w:leftChars="200"/>
        <w:rPr>
          <w:rFonts w:hint="eastAsia" w:ascii="宋体" w:hAnsi="宋体" w:eastAsia="宋体" w:cs="宋体"/>
          <w:sz w:val="36"/>
          <w:szCs w:val="36"/>
          <w:u w:val="single"/>
        </w:rPr>
      </w:pPr>
      <w:r>
        <w:rPr>
          <w:rFonts w:hint="eastAsia" w:ascii="宋体" w:hAnsi="宋体" w:eastAsia="宋体" w:cs="宋体"/>
          <w:sz w:val="36"/>
          <w:szCs w:val="36"/>
        </w:rPr>
        <w:t>乙    方：</w:t>
      </w:r>
      <w:r>
        <w:rPr>
          <w:rFonts w:hint="eastAsia" w:ascii="宋体" w:hAnsi="宋体" w:eastAsia="宋体" w:cs="宋体"/>
          <w:sz w:val="36"/>
          <w:szCs w:val="36"/>
          <w:u w:val="single"/>
        </w:rPr>
        <w:t xml:space="preserve">                             </w:t>
      </w:r>
    </w:p>
    <w:p w14:paraId="5D81267B">
      <w:pPr>
        <w:spacing w:line="360" w:lineRule="auto"/>
        <w:ind w:left="420" w:leftChars="200"/>
        <w:rPr>
          <w:rFonts w:hint="eastAsia" w:ascii="宋体" w:hAnsi="宋体" w:eastAsia="宋体" w:cs="宋体"/>
          <w:sz w:val="36"/>
          <w:szCs w:val="36"/>
        </w:rPr>
      </w:pPr>
      <w:r>
        <w:rPr>
          <w:rFonts w:hint="eastAsia" w:ascii="宋体" w:hAnsi="宋体" w:eastAsia="宋体" w:cs="宋体"/>
          <w:sz w:val="36"/>
          <w:szCs w:val="36"/>
        </w:rPr>
        <w:t>签订时间：</w:t>
      </w:r>
      <w:r>
        <w:rPr>
          <w:rFonts w:hint="eastAsia" w:ascii="宋体" w:hAnsi="宋体" w:eastAsia="宋体" w:cs="宋体"/>
          <w:sz w:val="36"/>
          <w:szCs w:val="36"/>
          <w:u w:val="single"/>
        </w:rPr>
        <w:t xml:space="preserve">                             </w:t>
      </w:r>
    </w:p>
    <w:p w14:paraId="6060BF30">
      <w:pPr>
        <w:rPr>
          <w:rFonts w:hint="eastAsia" w:ascii="宋体" w:hAnsi="宋体" w:eastAsia="宋体" w:cs="宋体"/>
          <w:sz w:val="24"/>
          <w:szCs w:val="24"/>
        </w:rPr>
      </w:pPr>
    </w:p>
    <w:p w14:paraId="5391C14E">
      <w:pPr>
        <w:bidi w:val="0"/>
        <w:rPr>
          <w:rFonts w:hint="eastAsia"/>
        </w:rPr>
      </w:pPr>
      <w:r>
        <w:rPr>
          <w:rFonts w:hint="eastAsia" w:ascii="宋体" w:hAnsi="宋体" w:eastAsia="宋体" w:cs="宋体"/>
          <w:sz w:val="24"/>
          <w:szCs w:val="24"/>
        </w:rPr>
        <w:br w:type="page"/>
      </w:r>
      <w:bookmarkEnd w:id="119"/>
      <w:bookmarkStart w:id="120" w:name="_Toc22209"/>
    </w:p>
    <w:p w14:paraId="1A2399CF">
      <w:pPr>
        <w:adjustRightInd w:val="0"/>
        <w:snapToGrid w:val="0"/>
        <w:spacing w:line="400" w:lineRule="exact"/>
        <w:jc w:val="center"/>
        <w:rPr>
          <w:rFonts w:hint="eastAsia" w:ascii="宋体" w:hAnsi="宋体" w:eastAsia="宋体" w:cs="宋体"/>
          <w:b/>
          <w:bCs/>
          <w:sz w:val="24"/>
          <w:szCs w:val="24"/>
        </w:rPr>
      </w:pPr>
    </w:p>
    <w:p w14:paraId="629EE9BB">
      <w:pPr>
        <w:keepNext w:val="0"/>
        <w:keepLines w:val="0"/>
        <w:pageBreakBefore w:val="0"/>
        <w:widowControl/>
        <w:kinsoku/>
        <w:wordWrap/>
        <w:overflowPunct/>
        <w:topLinePunct w:val="0"/>
        <w:autoSpaceDE/>
        <w:autoSpaceDN/>
        <w:bidi w:val="0"/>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使 用 说 明</w:t>
      </w:r>
    </w:p>
    <w:p w14:paraId="18D11948">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sz w:val="24"/>
          <w:szCs w:val="24"/>
        </w:rPr>
      </w:pPr>
    </w:p>
    <w:p w14:paraId="3AC4116F">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1.本合同标准文本适用于购买现成货物的采购项目，不包括需要供应商定制开发、创新研发的货物采购项目。</w:t>
      </w:r>
    </w:p>
    <w:p w14:paraId="4A9A04BC">
      <w:pPr>
        <w:keepNext w:val="0"/>
        <w:keepLines w:val="0"/>
        <w:pageBreakBefore w:val="0"/>
        <w:widowControl/>
        <w:kinsoku/>
        <w:wordWrap/>
        <w:overflowPunct/>
        <w:topLinePunct w:val="0"/>
        <w:autoSpaceDE/>
        <w:autoSpaceDN/>
        <w:bidi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2.本合同标准文本为政府采购货物买卖合同编制提供参考，可以结合采购项目具体情况，对文本作必要的调整修订后使用。</w:t>
      </w:r>
    </w:p>
    <w:p w14:paraId="4F0DE034">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jc w:val="left"/>
        <w:textAlignment w:val="auto"/>
        <w:rPr>
          <w:rFonts w:hint="eastAsia" w:ascii="宋体" w:hAnsi="宋体" w:eastAsia="宋体" w:cs="宋体"/>
          <w:b/>
          <w:bCs/>
          <w:sz w:val="24"/>
          <w:szCs w:val="24"/>
        </w:rPr>
      </w:pPr>
      <w:r>
        <w:rPr>
          <w:rFonts w:hint="eastAsia" w:ascii="宋体" w:hAnsi="宋体" w:eastAsia="宋体" w:cs="宋体"/>
          <w:sz w:val="24"/>
          <w:szCs w:val="24"/>
        </w:rPr>
        <w:t>3.本合同标准文本各条款中，如涉及填写多家供应商、制造商，多种采购标的、分包主要内容等信息的，可根据采购项目具体情况添加信息项。</w:t>
      </w:r>
    </w:p>
    <w:p w14:paraId="063AE79A">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jc w:val="center"/>
        <w:textAlignment w:val="auto"/>
        <w:rPr>
          <w:rFonts w:hint="eastAsia" w:ascii="宋体" w:hAnsi="宋体" w:eastAsia="宋体" w:cs="宋体"/>
          <w:b/>
          <w:bCs/>
          <w:sz w:val="24"/>
          <w:szCs w:val="24"/>
        </w:rPr>
      </w:pPr>
    </w:p>
    <w:p w14:paraId="3AD8D929">
      <w:pPr>
        <w:adjustRightInd w:val="0"/>
        <w:snapToGrid w:val="0"/>
        <w:spacing w:line="400" w:lineRule="exact"/>
        <w:jc w:val="center"/>
        <w:rPr>
          <w:rFonts w:hint="eastAsia" w:ascii="宋体" w:hAnsi="宋体" w:eastAsia="宋体" w:cs="宋体"/>
          <w:b/>
          <w:bCs/>
          <w:sz w:val="24"/>
          <w:szCs w:val="24"/>
        </w:rPr>
      </w:pPr>
    </w:p>
    <w:p w14:paraId="54E28218">
      <w:pPr>
        <w:adjustRightInd w:val="0"/>
        <w:snapToGrid w:val="0"/>
        <w:spacing w:line="400" w:lineRule="exact"/>
        <w:jc w:val="center"/>
        <w:rPr>
          <w:rFonts w:hint="eastAsia" w:ascii="宋体" w:hAnsi="宋体" w:eastAsia="宋体" w:cs="宋体"/>
          <w:b/>
          <w:bCs/>
          <w:sz w:val="24"/>
          <w:szCs w:val="24"/>
        </w:rPr>
      </w:pPr>
    </w:p>
    <w:p w14:paraId="2A4149BC">
      <w:pPr>
        <w:adjustRightInd w:val="0"/>
        <w:snapToGrid w:val="0"/>
        <w:spacing w:line="400" w:lineRule="exact"/>
        <w:jc w:val="center"/>
        <w:rPr>
          <w:rFonts w:hint="eastAsia" w:ascii="宋体" w:hAnsi="宋体" w:eastAsia="宋体" w:cs="宋体"/>
          <w:b/>
          <w:bCs/>
          <w:sz w:val="24"/>
          <w:szCs w:val="24"/>
        </w:rPr>
      </w:pPr>
    </w:p>
    <w:p w14:paraId="170CEE85">
      <w:pPr>
        <w:adjustRightInd w:val="0"/>
        <w:snapToGrid w:val="0"/>
        <w:spacing w:line="400" w:lineRule="exact"/>
        <w:jc w:val="center"/>
        <w:rPr>
          <w:rFonts w:hint="eastAsia" w:ascii="宋体" w:hAnsi="宋体" w:eastAsia="宋体" w:cs="宋体"/>
          <w:b/>
          <w:bCs/>
          <w:sz w:val="24"/>
          <w:szCs w:val="24"/>
        </w:rPr>
      </w:pPr>
    </w:p>
    <w:p w14:paraId="45D590CB">
      <w:pPr>
        <w:adjustRightInd w:val="0"/>
        <w:snapToGrid w:val="0"/>
        <w:spacing w:line="400" w:lineRule="exact"/>
        <w:jc w:val="center"/>
        <w:rPr>
          <w:rFonts w:hint="eastAsia" w:ascii="宋体" w:hAnsi="宋体" w:eastAsia="宋体" w:cs="宋体"/>
          <w:b/>
          <w:bCs/>
          <w:sz w:val="24"/>
          <w:szCs w:val="24"/>
        </w:rPr>
      </w:pPr>
    </w:p>
    <w:p w14:paraId="696ABA5B">
      <w:pPr>
        <w:adjustRightInd w:val="0"/>
        <w:snapToGrid w:val="0"/>
        <w:spacing w:line="400" w:lineRule="exact"/>
        <w:jc w:val="center"/>
        <w:rPr>
          <w:rFonts w:hint="eastAsia" w:ascii="宋体" w:hAnsi="宋体" w:eastAsia="宋体" w:cs="宋体"/>
          <w:b/>
          <w:bCs/>
          <w:sz w:val="24"/>
          <w:szCs w:val="24"/>
        </w:rPr>
      </w:pPr>
    </w:p>
    <w:p w14:paraId="5F2AF446">
      <w:pPr>
        <w:adjustRightInd w:val="0"/>
        <w:snapToGrid w:val="0"/>
        <w:spacing w:line="400" w:lineRule="exact"/>
        <w:jc w:val="center"/>
        <w:rPr>
          <w:rFonts w:hint="eastAsia" w:ascii="宋体" w:hAnsi="宋体" w:eastAsia="宋体" w:cs="宋体"/>
          <w:b/>
          <w:bCs/>
          <w:sz w:val="24"/>
          <w:szCs w:val="24"/>
        </w:rPr>
      </w:pPr>
    </w:p>
    <w:p w14:paraId="3AF71327">
      <w:pPr>
        <w:adjustRightInd w:val="0"/>
        <w:snapToGrid w:val="0"/>
        <w:spacing w:line="400" w:lineRule="exact"/>
        <w:jc w:val="center"/>
        <w:rPr>
          <w:rFonts w:hint="eastAsia" w:ascii="宋体" w:hAnsi="宋体" w:eastAsia="宋体" w:cs="宋体"/>
          <w:b/>
          <w:bCs/>
          <w:sz w:val="24"/>
          <w:szCs w:val="24"/>
        </w:rPr>
      </w:pPr>
    </w:p>
    <w:p w14:paraId="7FF0A5CE">
      <w:pPr>
        <w:adjustRightInd w:val="0"/>
        <w:snapToGrid w:val="0"/>
        <w:spacing w:line="400" w:lineRule="exact"/>
        <w:jc w:val="center"/>
        <w:rPr>
          <w:rFonts w:hint="eastAsia" w:ascii="宋体" w:hAnsi="宋体" w:eastAsia="宋体" w:cs="宋体"/>
          <w:b/>
          <w:bCs/>
          <w:sz w:val="24"/>
          <w:szCs w:val="24"/>
        </w:rPr>
      </w:pPr>
    </w:p>
    <w:p w14:paraId="4329F038">
      <w:pPr>
        <w:rPr>
          <w:rFonts w:hint="eastAsia" w:ascii="宋体" w:hAnsi="宋体" w:eastAsia="宋体" w:cs="宋体"/>
          <w:b/>
          <w:bCs/>
          <w:sz w:val="24"/>
          <w:szCs w:val="24"/>
        </w:rPr>
      </w:pPr>
      <w:r>
        <w:rPr>
          <w:rFonts w:hint="eastAsia" w:ascii="宋体" w:hAnsi="宋体" w:eastAsia="宋体" w:cs="宋体"/>
          <w:b/>
          <w:bCs/>
          <w:sz w:val="24"/>
          <w:szCs w:val="24"/>
        </w:rPr>
        <w:br w:type="page"/>
      </w:r>
    </w:p>
    <w:p w14:paraId="047919F5">
      <w:pPr>
        <w:adjustRightInd w:val="0"/>
        <w:snapToGrid w:val="0"/>
        <w:spacing w:line="400" w:lineRule="exact"/>
        <w:jc w:val="center"/>
        <w:rPr>
          <w:rFonts w:hint="eastAsia" w:ascii="宋体" w:hAnsi="宋体" w:eastAsia="宋体" w:cs="宋体"/>
          <w:b/>
          <w:bCs/>
          <w:sz w:val="24"/>
          <w:szCs w:val="24"/>
        </w:rPr>
      </w:pPr>
      <w:r>
        <w:rPr>
          <w:rFonts w:hint="eastAsia" w:ascii="宋体" w:hAnsi="宋体" w:eastAsia="宋体" w:cs="宋体"/>
          <w:b/>
          <w:bCs/>
          <w:sz w:val="24"/>
          <w:szCs w:val="24"/>
        </w:rPr>
        <w:t>第一节 政府采购合同协议书</w:t>
      </w:r>
      <w:bookmarkEnd w:id="120"/>
    </w:p>
    <w:p w14:paraId="674DB837">
      <w:pPr>
        <w:bidi w:val="0"/>
        <w:rPr>
          <w:rFonts w:hint="eastAsia"/>
        </w:rPr>
      </w:pPr>
    </w:p>
    <w:p w14:paraId="53080FEC">
      <w:pPr>
        <w:adjustRightInd w:val="0"/>
        <w:snapToGrid w:val="0"/>
        <w:spacing w:line="400" w:lineRule="exact"/>
        <w:ind w:left="4320" w:hanging="4320" w:hangingChars="1800"/>
        <w:rPr>
          <w:rFonts w:hint="eastAsia" w:ascii="宋体" w:hAnsi="宋体" w:eastAsia="宋体" w:cs="宋体"/>
          <w:sz w:val="24"/>
          <w:szCs w:val="24"/>
        </w:rPr>
      </w:pPr>
      <w:r>
        <w:rPr>
          <w:rFonts w:hint="eastAsia" w:ascii="宋体" w:hAnsi="宋体" w:eastAsia="宋体" w:cs="宋体"/>
          <w:sz w:val="24"/>
          <w:szCs w:val="24"/>
        </w:rPr>
        <w:t>甲方（全称）：</w:t>
      </w:r>
      <w:r>
        <w:rPr>
          <w:rFonts w:hint="eastAsia" w:ascii="宋体" w:hAnsi="宋体" w:eastAsia="宋体" w:cs="宋体"/>
          <w:sz w:val="24"/>
          <w:szCs w:val="24"/>
          <w:u w:val="single"/>
        </w:rPr>
        <w:t xml:space="preserve">                  </w:t>
      </w:r>
      <w:r>
        <w:rPr>
          <w:rFonts w:hint="eastAsia" w:ascii="宋体" w:hAnsi="宋体" w:eastAsia="宋体" w:cs="宋体"/>
          <w:sz w:val="24"/>
          <w:szCs w:val="24"/>
        </w:rPr>
        <w:t>（采购人、受采购人委托签订合同的单位或采购文件约定的合同甲方）</w:t>
      </w:r>
    </w:p>
    <w:p w14:paraId="16620E71">
      <w:pPr>
        <w:adjustRightInd w:val="0"/>
        <w:snapToGrid w:val="0"/>
        <w:spacing w:line="400" w:lineRule="exact"/>
        <w:rPr>
          <w:rFonts w:hint="eastAsia" w:ascii="宋体" w:hAnsi="宋体" w:eastAsia="宋体" w:cs="宋体"/>
          <w:sz w:val="24"/>
          <w:szCs w:val="24"/>
        </w:rPr>
      </w:pPr>
      <w:r>
        <w:rPr>
          <w:rFonts w:hint="eastAsia" w:ascii="宋体" w:hAnsi="宋体" w:eastAsia="宋体" w:cs="宋体"/>
          <w:sz w:val="24"/>
          <w:szCs w:val="24"/>
        </w:rPr>
        <w:t>乙方1（全称）：</w:t>
      </w:r>
      <w:r>
        <w:rPr>
          <w:rFonts w:hint="eastAsia" w:ascii="宋体" w:hAnsi="宋体" w:eastAsia="宋体" w:cs="宋体"/>
          <w:sz w:val="24"/>
          <w:szCs w:val="24"/>
          <w:u w:val="single"/>
        </w:rPr>
        <w:t xml:space="preserve">                 </w:t>
      </w:r>
      <w:r>
        <w:rPr>
          <w:rFonts w:hint="eastAsia" w:ascii="宋体" w:hAnsi="宋体" w:eastAsia="宋体" w:cs="宋体"/>
          <w:sz w:val="24"/>
          <w:szCs w:val="24"/>
        </w:rPr>
        <w:t>（供应商）</w:t>
      </w:r>
    </w:p>
    <w:p w14:paraId="01995830">
      <w:pPr>
        <w:adjustRightInd w:val="0"/>
        <w:snapToGrid w:val="0"/>
        <w:spacing w:line="400" w:lineRule="exact"/>
        <w:rPr>
          <w:rFonts w:hint="eastAsia" w:ascii="宋体" w:hAnsi="宋体" w:eastAsia="宋体" w:cs="宋体"/>
          <w:sz w:val="24"/>
          <w:szCs w:val="24"/>
        </w:rPr>
      </w:pPr>
      <w:r>
        <w:rPr>
          <w:rFonts w:hint="eastAsia" w:ascii="宋体" w:hAnsi="宋体" w:eastAsia="宋体" w:cs="宋体"/>
          <w:sz w:val="24"/>
          <w:szCs w:val="24"/>
        </w:rPr>
        <w:t>乙方2（全称）：</w:t>
      </w:r>
      <w:r>
        <w:rPr>
          <w:rFonts w:hint="eastAsia" w:ascii="宋体" w:hAnsi="宋体" w:eastAsia="宋体" w:cs="宋体"/>
          <w:sz w:val="24"/>
          <w:szCs w:val="24"/>
          <w:u w:val="single"/>
        </w:rPr>
        <w:t xml:space="preserve">                 </w:t>
      </w:r>
      <w:r>
        <w:rPr>
          <w:rFonts w:hint="eastAsia" w:ascii="宋体" w:hAnsi="宋体" w:eastAsia="宋体" w:cs="宋体"/>
          <w:sz w:val="24"/>
          <w:szCs w:val="24"/>
        </w:rPr>
        <w:t>（联合体成员供应商或其他合同主体）（如有）</w:t>
      </w:r>
    </w:p>
    <w:p w14:paraId="0760C671">
      <w:pPr>
        <w:adjustRightInd w:val="0"/>
        <w:snapToGrid w:val="0"/>
        <w:spacing w:line="400" w:lineRule="exact"/>
        <w:rPr>
          <w:rFonts w:hint="eastAsia" w:ascii="宋体" w:hAnsi="宋体" w:eastAsia="宋体" w:cs="宋体"/>
          <w:sz w:val="24"/>
          <w:szCs w:val="24"/>
        </w:rPr>
      </w:pPr>
      <w:r>
        <w:rPr>
          <w:rFonts w:hint="eastAsia" w:ascii="宋体" w:hAnsi="宋体" w:eastAsia="宋体" w:cs="宋体"/>
          <w:sz w:val="24"/>
          <w:szCs w:val="24"/>
        </w:rPr>
        <w:t>乙方3（全称）</w:t>
      </w:r>
      <w:r>
        <w:rPr>
          <w:rFonts w:hint="eastAsia" w:ascii="宋体" w:hAnsi="宋体" w:eastAsia="宋体" w:cs="宋体"/>
          <w:sz w:val="24"/>
          <w:szCs w:val="24"/>
          <w:u w:val="single"/>
        </w:rPr>
        <w:t xml:space="preserve">                   </w:t>
      </w:r>
      <w:r>
        <w:rPr>
          <w:rFonts w:hint="eastAsia" w:ascii="宋体" w:hAnsi="宋体" w:eastAsia="宋体" w:cs="宋体"/>
          <w:sz w:val="24"/>
          <w:szCs w:val="24"/>
        </w:rPr>
        <w:t>（联合体成员供应商或其他合同主体）（如有）</w:t>
      </w:r>
    </w:p>
    <w:p w14:paraId="424BD956">
      <w:pPr>
        <w:spacing w:line="400" w:lineRule="exact"/>
        <w:rPr>
          <w:rFonts w:hint="eastAsia" w:ascii="宋体" w:hAnsi="宋体" w:eastAsia="宋体" w:cs="宋体"/>
          <w:sz w:val="24"/>
          <w:szCs w:val="24"/>
        </w:rPr>
      </w:pPr>
    </w:p>
    <w:p w14:paraId="1C0D3692">
      <w:pPr>
        <w:pStyle w:val="9"/>
        <w:adjustRightInd w:val="0"/>
        <w:snapToGrid w:val="0"/>
        <w:spacing w:line="40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3391229A">
      <w:pPr>
        <w:numPr>
          <w:ilvl w:val="0"/>
          <w:numId w:val="4"/>
        </w:numPr>
        <w:adjustRightInd w:val="0"/>
        <w:snapToGrid w:val="0"/>
        <w:spacing w:line="400" w:lineRule="exact"/>
        <w:ind w:firstLine="480" w:firstLineChars="200"/>
        <w:rPr>
          <w:rFonts w:hint="eastAsia" w:ascii="宋体" w:hAnsi="宋体" w:eastAsia="宋体" w:cs="宋体"/>
          <w:b/>
          <w:sz w:val="24"/>
          <w:szCs w:val="24"/>
        </w:rPr>
      </w:pPr>
      <w:r>
        <w:rPr>
          <w:rFonts w:hint="eastAsia" w:ascii="宋体" w:hAnsi="宋体" w:eastAsia="宋体" w:cs="宋体"/>
          <w:b/>
          <w:sz w:val="24"/>
          <w:szCs w:val="24"/>
        </w:rPr>
        <w:t>项目信息</w:t>
      </w:r>
    </w:p>
    <w:p w14:paraId="3E63E1C3">
      <w:pPr>
        <w:pStyle w:val="9"/>
        <w:numPr>
          <w:ilvl w:val="0"/>
          <w:numId w:val="5"/>
        </w:numPr>
        <w:adjustRightInd w:val="0"/>
        <w:snapToGrid w:val="0"/>
        <w:spacing w:line="400" w:lineRule="exact"/>
        <w:ind w:left="0" w:leftChars="0" w:firstLine="480" w:firstLineChars="200"/>
        <w:rPr>
          <w:rFonts w:hint="eastAsia" w:ascii="宋体" w:hAnsi="宋体" w:eastAsia="宋体" w:cs="宋体"/>
          <w:sz w:val="24"/>
          <w:szCs w:val="24"/>
          <w:u w:val="single"/>
        </w:rPr>
      </w:pPr>
      <w:r>
        <w:rPr>
          <w:rFonts w:hint="eastAsia" w:ascii="宋体" w:hAnsi="宋体" w:eastAsia="宋体" w:cs="宋体"/>
          <w:sz w:val="24"/>
          <w:szCs w:val="24"/>
        </w:rPr>
        <w:t>采购项目名称：</w:t>
      </w:r>
      <w:r>
        <w:rPr>
          <w:rFonts w:hint="eastAsia" w:ascii="宋体" w:hAnsi="宋体" w:eastAsia="宋体" w:cs="宋体"/>
          <w:sz w:val="24"/>
          <w:szCs w:val="24"/>
          <w:u w:val="single"/>
        </w:rPr>
        <w:t xml:space="preserve">                                          </w:t>
      </w:r>
    </w:p>
    <w:p w14:paraId="4907C3BD">
      <w:pPr>
        <w:pStyle w:val="9"/>
        <w:tabs>
          <w:tab w:val="left" w:pos="999"/>
        </w:tabs>
        <w:adjustRightInd w:val="0"/>
        <w:snapToGrid w:val="0"/>
        <w:spacing w:line="400" w:lineRule="exact"/>
        <w:ind w:left="0" w:leftChars="0"/>
        <w:rPr>
          <w:rFonts w:hint="eastAsia" w:ascii="宋体" w:hAnsi="宋体" w:eastAsia="宋体" w:cs="宋体"/>
          <w:sz w:val="24"/>
          <w:szCs w:val="24"/>
        </w:rPr>
      </w:pPr>
      <w:r>
        <w:rPr>
          <w:rFonts w:hint="eastAsia" w:ascii="宋体" w:hAnsi="宋体" w:eastAsia="宋体" w:cs="宋体"/>
          <w:sz w:val="24"/>
          <w:szCs w:val="24"/>
        </w:rPr>
        <w:t xml:space="preserve">         采购项目编号：</w:t>
      </w:r>
      <w:r>
        <w:rPr>
          <w:rFonts w:hint="eastAsia" w:ascii="宋体" w:hAnsi="宋体" w:eastAsia="宋体" w:cs="宋体"/>
          <w:sz w:val="24"/>
          <w:szCs w:val="24"/>
          <w:u w:val="single"/>
        </w:rPr>
        <w:t xml:space="preserve">                                          </w:t>
      </w:r>
    </w:p>
    <w:p w14:paraId="1DB956BE">
      <w:pPr>
        <w:pStyle w:val="9"/>
        <w:adjustRightInd w:val="0"/>
        <w:snapToGrid w:val="0"/>
        <w:spacing w:line="40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（2）采购计划编号：</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63E399D">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（3）项目内容：</w:t>
      </w:r>
    </w:p>
    <w:p w14:paraId="394558C6">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采购标的及数量（台/套</w:t>
      </w:r>
      <w:r>
        <w:rPr>
          <w:rFonts w:hint="eastAsia" w:ascii="宋体" w:hAnsi="宋体" w:eastAsia="宋体" w:cs="宋体"/>
          <w:sz w:val="24"/>
          <w:szCs w:val="24"/>
          <w:lang w:val="en"/>
        </w:rPr>
        <w:t>/个/架/组等</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22939525">
      <w:pPr>
        <w:adjustRightInd w:val="0"/>
        <w:snapToGrid w:val="0"/>
        <w:spacing w:line="400" w:lineRule="exact"/>
        <w:ind w:firstLine="480" w:firstLineChars="200"/>
        <w:rPr>
          <w:rFonts w:hint="eastAsia" w:ascii="宋体" w:hAnsi="宋体" w:eastAsia="宋体" w:cs="宋体"/>
          <w:sz w:val="24"/>
          <w:szCs w:val="24"/>
          <w:lang w:val="en"/>
        </w:rPr>
      </w:pPr>
      <w:r>
        <w:rPr>
          <w:rFonts w:hint="eastAsia" w:ascii="宋体" w:hAnsi="宋体" w:eastAsia="宋体" w:cs="宋体"/>
          <w:sz w:val="24"/>
          <w:szCs w:val="24"/>
        </w:rPr>
        <w:t xml:space="preserve">     品牌：</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lang w:val="en"/>
        </w:rPr>
        <w:t xml:space="preserve">     </w:t>
      </w:r>
      <w:r>
        <w:rPr>
          <w:rFonts w:hint="eastAsia" w:ascii="宋体" w:hAnsi="宋体" w:eastAsia="宋体" w:cs="宋体"/>
          <w:sz w:val="24"/>
          <w:szCs w:val="24"/>
        </w:rPr>
        <w:t>规格型号：</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
        </w:rPr>
        <w:t xml:space="preserve">   </w:t>
      </w:r>
    </w:p>
    <w:p w14:paraId="2A1BCD11">
      <w:pPr>
        <w:adjustRightInd w:val="0"/>
        <w:snapToGrid w:val="0"/>
        <w:spacing w:line="400" w:lineRule="exact"/>
        <w:ind w:firstLine="1080" w:firstLineChars="450"/>
        <w:rPr>
          <w:rFonts w:hint="eastAsia" w:ascii="宋体" w:hAnsi="宋体" w:eastAsia="宋体" w:cs="宋体"/>
          <w:sz w:val="24"/>
          <w:szCs w:val="24"/>
          <w:u w:val="single"/>
        </w:rPr>
      </w:pPr>
      <w:r>
        <w:rPr>
          <w:rFonts w:hint="eastAsia" w:ascii="宋体" w:hAnsi="宋体" w:eastAsia="宋体" w:cs="宋体"/>
          <w:sz w:val="24"/>
          <w:szCs w:val="24"/>
        </w:rPr>
        <w:t>采购标的的技术要求、商务要求具体见附件。</w:t>
      </w:r>
    </w:p>
    <w:p w14:paraId="29B10282">
      <w:pPr>
        <w:adjustRightInd w:val="0"/>
        <w:snapToGrid w:val="0"/>
        <w:spacing w:line="400" w:lineRule="exact"/>
        <w:ind w:firstLine="1080" w:firstLineChars="450"/>
        <w:rPr>
          <w:rFonts w:hint="eastAsia" w:ascii="宋体" w:hAnsi="宋体" w:eastAsia="宋体" w:cs="宋体"/>
          <w:sz w:val="24"/>
          <w:szCs w:val="24"/>
        </w:rPr>
      </w:pPr>
      <w:r>
        <w:rPr>
          <w:rFonts w:hint="eastAsia" w:ascii="宋体" w:hAnsi="宋体" w:eastAsia="宋体" w:cs="宋体"/>
          <w:sz w:val="24"/>
          <w:szCs w:val="24"/>
        </w:rPr>
        <w:t>①涉及信息类产品，请填写该产品关键部件的品牌、型号：</w:t>
      </w:r>
    </w:p>
    <w:p w14:paraId="6F2096B0">
      <w:pPr>
        <w:adjustRightInd w:val="0"/>
        <w:snapToGrid w:val="0"/>
        <w:spacing w:line="400" w:lineRule="exact"/>
        <w:ind w:firstLine="480" w:firstLineChars="200"/>
        <w:rPr>
          <w:rFonts w:hint="eastAsia" w:ascii="宋体" w:hAnsi="宋体" w:eastAsia="宋体" w:cs="宋体"/>
          <w:kern w:val="0"/>
          <w:sz w:val="24"/>
          <w:szCs w:val="24"/>
          <w:u w:val="single"/>
        </w:rPr>
      </w:pPr>
      <w:r>
        <w:rPr>
          <w:rFonts w:hint="eastAsia" w:ascii="宋体" w:hAnsi="宋体" w:eastAsia="宋体" w:cs="宋体"/>
          <w:sz w:val="24"/>
          <w:szCs w:val="24"/>
        </w:rPr>
        <w:t xml:space="preserve">     标的名称：</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
        </w:rPr>
        <w:t xml:space="preserve">               </w:t>
      </w:r>
      <w:r>
        <w:rPr>
          <w:rFonts w:hint="eastAsia" w:ascii="宋体" w:hAnsi="宋体" w:eastAsia="宋体" w:cs="宋体"/>
          <w:kern w:val="0"/>
          <w:sz w:val="24"/>
          <w:szCs w:val="24"/>
          <w:u w:val="single"/>
        </w:rPr>
        <w:t xml:space="preserve">    </w:t>
      </w:r>
    </w:p>
    <w:p w14:paraId="7E0B31E6">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关键部件：</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r>
        <w:rPr>
          <w:rFonts w:hint="eastAsia" w:ascii="宋体" w:hAnsi="宋体" w:eastAsia="宋体" w:cs="宋体"/>
          <w:sz w:val="24"/>
          <w:szCs w:val="24"/>
        </w:rPr>
        <w:t>品牌：</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型号：</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EE39E09">
      <w:pPr>
        <w:pStyle w:val="167"/>
        <w:ind w:firstLine="420"/>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kern w:val="2"/>
          <w:sz w:val="24"/>
          <w:szCs w:val="24"/>
        </w:rPr>
        <w:t>关键部件</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品牌：</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型号：</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23B2B91A">
      <w:pPr>
        <w:pStyle w:val="167"/>
        <w:ind w:firstLine="420"/>
        <w:rPr>
          <w:rFonts w:hint="eastAsia" w:ascii="宋体" w:hAnsi="宋体" w:eastAsia="宋体" w:cs="宋体"/>
          <w:sz w:val="24"/>
          <w:szCs w:val="24"/>
        </w:rPr>
      </w:pPr>
      <w:r>
        <w:rPr>
          <w:rFonts w:hint="eastAsia" w:ascii="宋体" w:hAnsi="宋体" w:eastAsia="宋体" w:cs="宋体"/>
          <w:sz w:val="24"/>
          <w:szCs w:val="24"/>
        </w:rPr>
        <w:t xml:space="preserve">     关键部件：</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品牌：</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型号：</w:t>
      </w:r>
      <w:r>
        <w:rPr>
          <w:rFonts w:hint="eastAsia" w:ascii="宋体" w:hAnsi="宋体" w:eastAsia="宋体" w:cs="宋体"/>
          <w:sz w:val="24"/>
          <w:szCs w:val="24"/>
          <w:u w:val="single"/>
        </w:rPr>
        <w:t xml:space="preserve">       </w:t>
      </w:r>
    </w:p>
    <w:p w14:paraId="442FADEB">
      <w:pPr>
        <w:pStyle w:val="167"/>
        <w:snapToGrid w:val="0"/>
        <w:ind w:firstLine="0" w:firstLineChars="0"/>
        <w:rPr>
          <w:rFonts w:hint="eastAsia" w:ascii="宋体" w:hAnsi="宋体" w:eastAsia="宋体" w:cs="宋体"/>
          <w:sz w:val="24"/>
          <w:szCs w:val="24"/>
        </w:rPr>
      </w:pPr>
      <w:r>
        <w:rPr>
          <w:rFonts w:hint="eastAsia" w:ascii="宋体" w:hAnsi="宋体" w:eastAsia="宋体" w:cs="宋体"/>
          <w:sz w:val="24"/>
          <w:szCs w:val="24"/>
        </w:rPr>
        <w:t xml:space="preserve">   （注：关键部件是指财政部会同有关部门发布的政府采购需求标准规定的需要通过国家有关部门指定的测评机构开展的安全可靠测评的软硬件，如CPU芯片、操作系统、数据库等。）</w:t>
      </w:r>
    </w:p>
    <w:p w14:paraId="65BCBFDB">
      <w:pPr>
        <w:pStyle w:val="167"/>
        <w:snapToGrid w:val="0"/>
        <w:ind w:firstLine="0" w:firstLineChars="0"/>
        <w:rPr>
          <w:rFonts w:hint="eastAsia" w:ascii="宋体" w:hAnsi="宋体" w:eastAsia="宋体" w:cs="宋体"/>
          <w:sz w:val="24"/>
          <w:szCs w:val="24"/>
        </w:rPr>
      </w:pPr>
      <w:r>
        <w:rPr>
          <w:rFonts w:hint="eastAsia" w:ascii="宋体" w:hAnsi="宋体" w:eastAsia="宋体" w:cs="宋体"/>
          <w:sz w:val="24"/>
          <w:szCs w:val="24"/>
        </w:rPr>
        <w:t xml:space="preserve">        ②涉及车辆采购，请填写是否属于新能源汽车：</w:t>
      </w:r>
    </w:p>
    <w:p w14:paraId="5BC05458">
      <w:pPr>
        <w:pStyle w:val="167"/>
        <w:snapToGrid w:val="0"/>
        <w:ind w:firstLine="0" w:firstLineChars="0"/>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是，《政府采购品目分类目录》底级品目名称：</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数量：</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金额：</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43DD2EAC">
      <w:pPr>
        <w:pStyle w:val="167"/>
        <w:keepNext w:val="0"/>
        <w:keepLines w:val="0"/>
        <w:pageBreakBefore w:val="0"/>
        <w:widowControl/>
        <w:kinsoku/>
        <w:wordWrap/>
        <w:overflowPunct/>
        <w:topLinePunct w:val="0"/>
        <w:bidi w:val="0"/>
        <w:snapToGrid w:val="0"/>
        <w:ind w:firstLine="960" w:firstLineChars="400"/>
        <w:textAlignment w:val="auto"/>
        <w:rPr>
          <w:rFonts w:hint="eastAsia"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rPr>
        <w:t>否</w:t>
      </w:r>
    </w:p>
    <w:p w14:paraId="6DD0D77C">
      <w:pPr>
        <w:pStyle w:val="167"/>
        <w:keepNext w:val="0"/>
        <w:keepLines w:val="0"/>
        <w:pageBreakBefore w:val="0"/>
        <w:widowControl/>
        <w:kinsoku/>
        <w:wordWrap/>
        <w:overflowPunct/>
        <w:topLinePunct w:val="0"/>
        <w:bidi w:val="0"/>
        <w:snapToGrid w:val="0"/>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
        </w:rPr>
        <w:t>4</w:t>
      </w:r>
      <w:r>
        <w:rPr>
          <w:rFonts w:hint="eastAsia" w:ascii="宋体" w:hAnsi="宋体" w:eastAsia="宋体" w:cs="宋体"/>
          <w:sz w:val="24"/>
          <w:szCs w:val="24"/>
        </w:rPr>
        <w:t>）政府采购组织形式：</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政府集中采购  </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部门集中采购  </w:t>
      </w:r>
      <w:r>
        <w:rPr>
          <w:rFonts w:hint="eastAsia" w:ascii="宋体" w:hAnsi="宋体" w:eastAsia="宋体" w:cs="宋体"/>
          <w:sz w:val="24"/>
          <w:szCs w:val="24"/>
        </w:rPr>
        <w:sym w:font="Wingdings" w:char="00A8"/>
      </w:r>
      <w:r>
        <w:rPr>
          <w:rFonts w:hint="eastAsia" w:ascii="宋体" w:hAnsi="宋体" w:eastAsia="宋体" w:cs="宋体"/>
          <w:sz w:val="24"/>
          <w:szCs w:val="24"/>
        </w:rPr>
        <w:t>分散采购</w:t>
      </w:r>
    </w:p>
    <w:p w14:paraId="3FA00C9B">
      <w:pPr>
        <w:pStyle w:val="167"/>
        <w:keepNext w:val="0"/>
        <w:keepLines w:val="0"/>
        <w:pageBreakBefore w:val="0"/>
        <w:widowControl/>
        <w:kinsoku/>
        <w:wordWrap/>
        <w:overflowPunct/>
        <w:topLinePunct w:val="0"/>
        <w:bidi w:val="0"/>
        <w:snapToGrid w:val="0"/>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
        </w:rPr>
        <w:t>5</w:t>
      </w:r>
      <w:r>
        <w:rPr>
          <w:rFonts w:hint="eastAsia" w:ascii="宋体" w:hAnsi="宋体" w:eastAsia="宋体" w:cs="宋体"/>
          <w:sz w:val="24"/>
          <w:szCs w:val="24"/>
        </w:rPr>
        <w:t>）政府采购方式：</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公开招标 </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邀请招标 </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竞争性谈判 </w:t>
      </w:r>
      <w:r>
        <w:rPr>
          <w:rFonts w:hint="eastAsia" w:ascii="宋体" w:hAnsi="宋体" w:eastAsia="宋体" w:cs="宋体"/>
          <w:sz w:val="24"/>
          <w:szCs w:val="24"/>
        </w:rPr>
        <w:sym w:font="Wingdings" w:char="00A8"/>
      </w:r>
      <w:r>
        <w:rPr>
          <w:rFonts w:hint="eastAsia" w:ascii="宋体" w:hAnsi="宋体" w:eastAsia="宋体" w:cs="宋体"/>
          <w:sz w:val="24"/>
          <w:szCs w:val="24"/>
        </w:rPr>
        <w:t>竞争性磋商</w:t>
      </w:r>
    </w:p>
    <w:p w14:paraId="7A924C94">
      <w:pPr>
        <w:pStyle w:val="167"/>
        <w:keepNext w:val="0"/>
        <w:keepLines w:val="0"/>
        <w:pageBreakBefore w:val="0"/>
        <w:widowControl/>
        <w:kinsoku/>
        <w:wordWrap/>
        <w:overflowPunct/>
        <w:topLinePunct w:val="0"/>
        <w:bidi w:val="0"/>
        <w:snapToGrid w:val="0"/>
        <w:ind w:firstLine="480" w:firstLineChars="200"/>
        <w:textAlignment w:val="auto"/>
        <w:rPr>
          <w:rFonts w:hint="eastAsia" w:ascii="宋体" w:hAnsi="宋体" w:eastAsia="宋体" w:cs="宋体"/>
          <w:sz w:val="24"/>
          <w:szCs w:val="24"/>
          <w:u w:val="single"/>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询价 </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单一来源 </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框架协议 </w:t>
      </w:r>
      <w:r>
        <w:rPr>
          <w:rFonts w:hint="eastAsia" w:ascii="宋体" w:hAnsi="宋体" w:eastAsia="宋体" w:cs="宋体"/>
          <w:sz w:val="24"/>
          <w:szCs w:val="24"/>
        </w:rPr>
        <w:sym w:font="Wingdings" w:char="00A8"/>
      </w:r>
      <w:r>
        <w:rPr>
          <w:rFonts w:hint="eastAsia" w:ascii="宋体" w:hAnsi="宋体" w:eastAsia="宋体" w:cs="宋体"/>
          <w:sz w:val="24"/>
          <w:szCs w:val="24"/>
        </w:rPr>
        <w:t>其他：</w:t>
      </w:r>
      <w:r>
        <w:rPr>
          <w:rFonts w:hint="eastAsia" w:ascii="宋体" w:hAnsi="宋体" w:eastAsia="宋体" w:cs="宋体"/>
          <w:sz w:val="24"/>
          <w:szCs w:val="24"/>
          <w:u w:val="single"/>
        </w:rPr>
        <w:t xml:space="preserve">          </w:t>
      </w:r>
    </w:p>
    <w:p w14:paraId="055F766D">
      <w:pPr>
        <w:pStyle w:val="167"/>
        <w:keepNext w:val="0"/>
        <w:keepLines w:val="0"/>
        <w:pageBreakBefore w:val="0"/>
        <w:widowControl/>
        <w:kinsoku/>
        <w:wordWrap/>
        <w:overflowPunct/>
        <w:topLinePunct w:val="0"/>
        <w:bidi w:val="0"/>
        <w:snapToGrid w:val="0"/>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（注：在框架协议采购的第二阶段，可选择使用该合同文本）</w:t>
      </w:r>
    </w:p>
    <w:p w14:paraId="25F6CDFC">
      <w:pPr>
        <w:pStyle w:val="167"/>
        <w:keepNext w:val="0"/>
        <w:keepLines w:val="0"/>
        <w:pageBreakBefore w:val="0"/>
        <w:widowControl/>
        <w:kinsoku/>
        <w:wordWrap/>
        <w:overflowPunct/>
        <w:topLinePunct w:val="0"/>
        <w:bidi w:val="0"/>
        <w:snapToGrid w:val="0"/>
        <w:ind w:left="0" w:leftChars="0" w:firstLine="480" w:firstLineChars="200"/>
        <w:textAlignment w:val="auto"/>
        <w:rPr>
          <w:rFonts w:hint="eastAsia" w:ascii="宋体" w:hAnsi="宋体" w:eastAsia="宋体" w:cs="宋体"/>
          <w:kern w:val="2"/>
          <w:sz w:val="24"/>
          <w:szCs w:val="24"/>
        </w:rPr>
      </w:pPr>
      <w:r>
        <w:rPr>
          <w:rFonts w:hint="eastAsia" w:ascii="宋体" w:hAnsi="宋体" w:eastAsia="宋体" w:cs="宋体"/>
          <w:sz w:val="24"/>
          <w:szCs w:val="24"/>
        </w:rPr>
        <w:t>（</w:t>
      </w:r>
      <w:r>
        <w:rPr>
          <w:rFonts w:hint="eastAsia" w:ascii="宋体" w:hAnsi="宋体" w:eastAsia="宋体" w:cs="宋体"/>
          <w:sz w:val="24"/>
          <w:szCs w:val="24"/>
          <w:lang w:val="en"/>
        </w:rPr>
        <w:t>6</w:t>
      </w:r>
      <w:r>
        <w:rPr>
          <w:rFonts w:hint="eastAsia" w:ascii="宋体" w:hAnsi="宋体" w:eastAsia="宋体" w:cs="宋体"/>
          <w:sz w:val="24"/>
          <w:szCs w:val="24"/>
        </w:rPr>
        <w:t>）</w:t>
      </w:r>
      <w:r>
        <w:rPr>
          <w:rFonts w:hint="eastAsia" w:ascii="宋体" w:hAnsi="宋体" w:eastAsia="宋体" w:cs="宋体"/>
          <w:kern w:val="2"/>
          <w:sz w:val="24"/>
          <w:szCs w:val="24"/>
        </w:rPr>
        <w:t>中标（成交）采购标的制造商是否为中小企业：</w:t>
      </w:r>
      <w:r>
        <w:rPr>
          <w:rFonts w:hint="eastAsia" w:ascii="宋体" w:hAnsi="宋体" w:eastAsia="宋体" w:cs="宋体"/>
          <w:kern w:val="2"/>
          <w:sz w:val="24"/>
          <w:szCs w:val="24"/>
        </w:rPr>
        <w:sym w:font="Wingdings" w:char="00A8"/>
      </w:r>
      <w:r>
        <w:rPr>
          <w:rFonts w:hint="eastAsia" w:ascii="宋体" w:hAnsi="宋体" w:eastAsia="宋体" w:cs="宋体"/>
          <w:kern w:val="2"/>
          <w:sz w:val="24"/>
          <w:szCs w:val="24"/>
        </w:rPr>
        <w:t xml:space="preserve">是      </w:t>
      </w:r>
      <w:r>
        <w:rPr>
          <w:rFonts w:hint="eastAsia" w:ascii="宋体" w:hAnsi="宋体" w:eastAsia="宋体" w:cs="宋体"/>
          <w:kern w:val="2"/>
          <w:sz w:val="24"/>
          <w:szCs w:val="24"/>
        </w:rPr>
        <w:sym w:font="Wingdings" w:char="00A8"/>
      </w:r>
      <w:r>
        <w:rPr>
          <w:rFonts w:hint="eastAsia" w:ascii="宋体" w:hAnsi="宋体" w:eastAsia="宋体" w:cs="宋体"/>
          <w:kern w:val="2"/>
          <w:sz w:val="24"/>
          <w:szCs w:val="24"/>
        </w:rPr>
        <w:t>否</w:t>
      </w:r>
    </w:p>
    <w:p w14:paraId="4B678068">
      <w:pPr>
        <w:keepNext w:val="0"/>
        <w:keepLines w:val="0"/>
        <w:pageBreakBefore w:val="0"/>
        <w:widowControl/>
        <w:kinsoku/>
        <w:wordWrap/>
        <w:overflowPunct/>
        <w:topLinePunct w:val="0"/>
        <w:bidi w:val="0"/>
        <w:adjustRightInd w:val="0"/>
        <w:snapToGrid w:val="0"/>
        <w:spacing w:line="400" w:lineRule="exact"/>
        <w:ind w:firstLine="480" w:firstLineChars="200"/>
        <w:textAlignment w:val="auto"/>
        <w:rPr>
          <w:rFonts w:hint="eastAsia" w:ascii="宋体" w:hAnsi="宋体" w:eastAsia="宋体" w:cs="宋体"/>
          <w:iCs/>
          <w:sz w:val="24"/>
          <w:szCs w:val="24"/>
        </w:rPr>
      </w:pPr>
      <w:r>
        <w:rPr>
          <w:rFonts w:hint="eastAsia" w:ascii="宋体" w:hAnsi="宋体" w:eastAsia="宋体" w:cs="宋体"/>
          <w:sz w:val="24"/>
          <w:szCs w:val="24"/>
        </w:rPr>
        <w:t>本合同是否为专门面向中小企业的采购合同（中小企业预留合同）：</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35CF209A">
      <w:pPr>
        <w:keepNext w:val="0"/>
        <w:keepLines w:val="0"/>
        <w:pageBreakBefore w:val="0"/>
        <w:widowControl/>
        <w:kinsoku/>
        <w:wordWrap/>
        <w:overflowPunct/>
        <w:topLinePunct w:val="0"/>
        <w:bidi w:val="0"/>
        <w:adjustRightInd w:val="0"/>
        <w:snapToGrid w:val="0"/>
        <w:spacing w:line="400" w:lineRule="exact"/>
        <w:ind w:firstLine="480" w:firstLineChars="200"/>
        <w:textAlignment w:val="auto"/>
        <w:rPr>
          <w:rFonts w:hint="eastAsia" w:ascii="宋体" w:hAnsi="宋体" w:eastAsia="宋体" w:cs="宋体"/>
          <w:iCs/>
          <w:sz w:val="24"/>
          <w:szCs w:val="24"/>
        </w:rPr>
      </w:pPr>
      <w:r>
        <w:rPr>
          <w:rFonts w:hint="eastAsia" w:ascii="宋体" w:hAnsi="宋体" w:eastAsia="宋体" w:cs="宋体"/>
          <w:sz w:val="24"/>
          <w:szCs w:val="24"/>
        </w:rPr>
        <w:t>若本项目不专门面向中小企业采购，是否给予小微企业评审优惠：</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2B6A9785">
      <w:pPr>
        <w:keepNext w:val="0"/>
        <w:keepLines w:val="0"/>
        <w:pageBreakBefore w:val="0"/>
        <w:widowControl/>
        <w:kinsoku/>
        <w:wordWrap/>
        <w:overflowPunct/>
        <w:topLinePunct w:val="0"/>
        <w:bidi w:val="0"/>
        <w:adjustRightInd w:val="0"/>
        <w:snapToGrid w:val="0"/>
        <w:spacing w:line="400" w:lineRule="exact"/>
        <w:ind w:firstLine="480" w:firstLineChars="200"/>
        <w:textAlignment w:val="auto"/>
        <w:rPr>
          <w:rFonts w:hint="eastAsia" w:ascii="宋体" w:hAnsi="宋体" w:eastAsia="宋体" w:cs="宋体"/>
          <w:iCs/>
          <w:sz w:val="24"/>
          <w:szCs w:val="24"/>
        </w:rPr>
      </w:pPr>
      <w:r>
        <w:rPr>
          <w:rFonts w:hint="eastAsia" w:ascii="宋体" w:hAnsi="宋体" w:eastAsia="宋体" w:cs="宋体"/>
          <w:sz w:val="24"/>
          <w:szCs w:val="24"/>
        </w:rPr>
        <w:t>中标（成交）采购标的制造商是否为残疾人福利性单位：</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3E52F62E">
      <w:pPr>
        <w:keepNext w:val="0"/>
        <w:keepLines w:val="0"/>
        <w:pageBreakBefore w:val="0"/>
        <w:widowControl/>
        <w:kinsoku/>
        <w:wordWrap/>
        <w:overflowPunct/>
        <w:topLinePunct w:val="0"/>
        <w:bidi w:val="0"/>
        <w:snapToGrid w:val="0"/>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中标（成交）采购标的制造商是否为监狱企业：</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5C2A0A90">
      <w:pPr>
        <w:keepNext w:val="0"/>
        <w:keepLines w:val="0"/>
        <w:pageBreakBefore w:val="0"/>
        <w:widowControl/>
        <w:kinsoku/>
        <w:wordWrap/>
        <w:overflowPunct/>
        <w:topLinePunct w:val="0"/>
        <w:bidi w:val="0"/>
        <w:adjustRightInd w:val="0"/>
        <w:snapToGrid w:val="0"/>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
        </w:rPr>
        <w:t>7</w:t>
      </w:r>
      <w:r>
        <w:rPr>
          <w:rFonts w:hint="eastAsia" w:ascii="宋体" w:hAnsi="宋体" w:eastAsia="宋体" w:cs="宋体"/>
          <w:sz w:val="24"/>
          <w:szCs w:val="24"/>
        </w:rPr>
        <w:t>）合同是否分包：</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26DAF4AB">
      <w:pPr>
        <w:adjustRightInd w:val="0"/>
        <w:snapToGrid w:val="0"/>
        <w:spacing w:line="400" w:lineRule="exact"/>
        <w:ind w:firstLine="960" w:firstLineChars="400"/>
        <w:rPr>
          <w:rFonts w:hint="eastAsia" w:ascii="宋体" w:hAnsi="宋体" w:eastAsia="宋体" w:cs="宋体"/>
          <w:sz w:val="24"/>
          <w:szCs w:val="24"/>
          <w:u w:val="single"/>
        </w:rPr>
      </w:pPr>
      <w:r>
        <w:rPr>
          <w:rFonts w:hint="eastAsia" w:ascii="宋体" w:hAnsi="宋体" w:eastAsia="宋体" w:cs="宋体"/>
          <w:sz w:val="24"/>
          <w:szCs w:val="24"/>
        </w:rPr>
        <w:t xml:space="preserve"> 分包主要内容：</w:t>
      </w:r>
      <w:r>
        <w:rPr>
          <w:rFonts w:hint="eastAsia" w:ascii="宋体" w:hAnsi="宋体" w:eastAsia="宋体" w:cs="宋体"/>
          <w:sz w:val="24"/>
          <w:szCs w:val="24"/>
          <w:u w:val="single"/>
        </w:rPr>
        <w:t xml:space="preserve">                                            </w:t>
      </w:r>
    </w:p>
    <w:p w14:paraId="5A8ADE4F">
      <w:pPr>
        <w:adjustRightInd w:val="0"/>
        <w:snapToGrid w:val="0"/>
        <w:spacing w:line="400" w:lineRule="exact"/>
        <w:ind w:firstLine="960" w:firstLineChars="400"/>
        <w:rPr>
          <w:rFonts w:hint="eastAsia" w:ascii="宋体" w:hAnsi="宋体" w:eastAsia="宋体" w:cs="宋体"/>
          <w:sz w:val="24"/>
          <w:szCs w:val="24"/>
        </w:rPr>
      </w:pPr>
      <w:r>
        <w:rPr>
          <w:rFonts w:hint="eastAsia" w:ascii="宋体" w:hAnsi="宋体" w:eastAsia="宋体" w:cs="宋体"/>
          <w:sz w:val="24"/>
          <w:szCs w:val="24"/>
        </w:rPr>
        <w:t xml:space="preserve"> 分包供应商/制造商名称（如供应商和制造商不同，请分别填写）：</w:t>
      </w:r>
    </w:p>
    <w:p w14:paraId="7A2E51C9">
      <w:pPr>
        <w:adjustRightInd w:val="0"/>
        <w:snapToGrid w:val="0"/>
        <w:spacing w:line="400" w:lineRule="exact"/>
        <w:ind w:firstLine="960" w:firstLineChars="400"/>
        <w:rPr>
          <w:rFonts w:hint="eastAsia" w:ascii="宋体" w:hAnsi="宋体" w:eastAsia="宋体" w:cs="宋体"/>
          <w:sz w:val="24"/>
          <w:szCs w:val="24"/>
          <w:u w:val="single"/>
        </w:rPr>
      </w:pPr>
      <w:r>
        <w:rPr>
          <w:rFonts w:hint="eastAsia" w:ascii="宋体" w:hAnsi="宋体" w:eastAsia="宋体" w:cs="宋体"/>
          <w:sz w:val="24"/>
          <w:szCs w:val="24"/>
        </w:rPr>
        <w:t xml:space="preserve"> </w:t>
      </w:r>
      <w:r>
        <w:rPr>
          <w:rFonts w:hint="eastAsia" w:ascii="宋体" w:hAnsi="宋体" w:eastAsia="宋体" w:cs="宋体"/>
          <w:sz w:val="24"/>
          <w:szCs w:val="24"/>
          <w:u w:val="single"/>
        </w:rPr>
        <w:t xml:space="preserve">                                                          </w:t>
      </w:r>
    </w:p>
    <w:p w14:paraId="0D5E281D">
      <w:pPr>
        <w:adjustRightInd w:val="0"/>
        <w:snapToGrid w:val="0"/>
        <w:spacing w:line="400" w:lineRule="exact"/>
        <w:ind w:firstLine="960" w:firstLineChars="400"/>
        <w:rPr>
          <w:rFonts w:hint="eastAsia" w:ascii="宋体" w:hAnsi="宋体" w:eastAsia="宋体" w:cs="宋体"/>
          <w:sz w:val="24"/>
          <w:szCs w:val="24"/>
        </w:rPr>
      </w:pPr>
      <w:r>
        <w:rPr>
          <w:rFonts w:hint="eastAsia" w:ascii="宋体" w:hAnsi="宋体" w:eastAsia="宋体" w:cs="宋体"/>
          <w:sz w:val="24"/>
          <w:szCs w:val="24"/>
        </w:rPr>
        <w:t xml:space="preserve"> 分包供应商/制造商类型（如果供应商和制造商不同，只填写制造商类型）：</w:t>
      </w:r>
    </w:p>
    <w:p w14:paraId="6AB17EE3">
      <w:pPr>
        <w:adjustRightInd w:val="0"/>
        <w:snapToGrid w:val="0"/>
        <w:spacing w:line="400" w:lineRule="exact"/>
        <w:ind w:firstLine="960" w:firstLineChars="400"/>
        <w:rPr>
          <w:rFonts w:hint="eastAsia" w:ascii="宋体" w:hAnsi="宋体" w:eastAsia="宋体" w:cs="宋体"/>
          <w:iCs/>
          <w:sz w:val="24"/>
          <w:szCs w:val="24"/>
        </w:rPr>
      </w:pP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大型企业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中型企业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小微型企业  </w:t>
      </w:r>
    </w:p>
    <w:p w14:paraId="5B283B0D">
      <w:pPr>
        <w:adjustRightInd w:val="0"/>
        <w:snapToGrid w:val="0"/>
        <w:spacing w:line="400" w:lineRule="exact"/>
        <w:ind w:firstLine="960" w:firstLineChars="400"/>
        <w:rPr>
          <w:rFonts w:hint="eastAsia" w:ascii="宋体" w:hAnsi="宋体" w:eastAsia="宋体" w:cs="宋体"/>
          <w:sz w:val="24"/>
          <w:szCs w:val="24"/>
        </w:rPr>
      </w:pP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残疾人福利性单位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监狱企业 </w:t>
      </w:r>
      <w:r>
        <w:rPr>
          <w:rFonts w:hint="eastAsia" w:ascii="宋体" w:hAnsi="宋体" w:eastAsia="宋体" w:cs="宋体"/>
          <w:iCs/>
          <w:sz w:val="24"/>
          <w:szCs w:val="24"/>
        </w:rPr>
        <w:sym w:font="Wingdings" w:char="00A8"/>
      </w:r>
      <w:r>
        <w:rPr>
          <w:rFonts w:hint="eastAsia" w:ascii="宋体" w:hAnsi="宋体" w:eastAsia="宋体" w:cs="宋体"/>
          <w:iCs/>
          <w:sz w:val="24"/>
          <w:szCs w:val="24"/>
        </w:rPr>
        <w:t>其他</w:t>
      </w:r>
    </w:p>
    <w:p w14:paraId="2172D2FA">
      <w:pPr>
        <w:adjustRightInd w:val="0"/>
        <w:snapToGrid w:val="0"/>
        <w:spacing w:line="400" w:lineRule="exact"/>
        <w:rPr>
          <w:rFonts w:hint="eastAsia" w:ascii="宋体" w:hAnsi="宋体" w:eastAsia="宋体" w:cs="宋体"/>
          <w:iCs/>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
        </w:rPr>
        <w:t>8</w:t>
      </w:r>
      <w:r>
        <w:rPr>
          <w:rFonts w:hint="eastAsia" w:ascii="宋体" w:hAnsi="宋体" w:eastAsia="宋体" w:cs="宋体"/>
          <w:sz w:val="24"/>
          <w:szCs w:val="24"/>
        </w:rPr>
        <w:t>）中标（成交）供应商是否为外商投资企业：</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317D3C92">
      <w:pPr>
        <w:pStyle w:val="167"/>
        <w:tabs>
          <w:tab w:val="left" w:pos="1340"/>
        </w:tabs>
        <w:ind w:firstLine="420"/>
        <w:rPr>
          <w:rFonts w:hint="eastAsia" w:ascii="宋体" w:hAnsi="宋体" w:eastAsia="宋体" w:cs="宋体"/>
          <w:sz w:val="24"/>
          <w:szCs w:val="24"/>
          <w:u w:val="single"/>
        </w:rPr>
      </w:pPr>
      <w:r>
        <w:rPr>
          <w:rFonts w:hint="eastAsia" w:ascii="宋体" w:hAnsi="宋体" w:eastAsia="宋体" w:cs="宋体"/>
          <w:sz w:val="24"/>
          <w:szCs w:val="24"/>
        </w:rPr>
        <w:t xml:space="preserve">     外商投资企业类型：</w:t>
      </w:r>
      <w:r>
        <w:rPr>
          <w:rFonts w:hint="eastAsia" w:ascii="宋体" w:hAnsi="宋体" w:eastAsia="宋体" w:cs="宋体"/>
          <w:iCs/>
          <w:sz w:val="24"/>
          <w:szCs w:val="24"/>
        </w:rPr>
        <w:sym w:font="Wingdings" w:char="00A8"/>
      </w:r>
      <w:r>
        <w:rPr>
          <w:rFonts w:hint="eastAsia" w:ascii="宋体" w:hAnsi="宋体" w:eastAsia="宋体" w:cs="宋体"/>
          <w:sz w:val="24"/>
          <w:szCs w:val="24"/>
        </w:rPr>
        <w:t xml:space="preserve">全部由外国投资者投资  </w:t>
      </w:r>
      <w:r>
        <w:rPr>
          <w:rFonts w:hint="eastAsia" w:ascii="宋体" w:hAnsi="宋体" w:eastAsia="宋体" w:cs="宋体"/>
          <w:iCs/>
          <w:sz w:val="24"/>
          <w:szCs w:val="24"/>
        </w:rPr>
        <w:sym w:font="Wingdings" w:char="00A8"/>
      </w:r>
      <w:r>
        <w:rPr>
          <w:rFonts w:hint="eastAsia" w:ascii="宋体" w:hAnsi="宋体" w:eastAsia="宋体" w:cs="宋体"/>
          <w:iCs/>
          <w:sz w:val="24"/>
          <w:szCs w:val="24"/>
        </w:rPr>
        <w:t>部分由外国投资者投资</w:t>
      </w:r>
    </w:p>
    <w:p w14:paraId="478574CB">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
        </w:rPr>
        <w:t>9</w:t>
      </w:r>
      <w:r>
        <w:rPr>
          <w:rFonts w:hint="eastAsia" w:ascii="宋体" w:hAnsi="宋体" w:eastAsia="宋体" w:cs="宋体"/>
          <w:sz w:val="24"/>
          <w:szCs w:val="24"/>
        </w:rPr>
        <w:t>）是否涉及进口产品：</w:t>
      </w:r>
    </w:p>
    <w:p w14:paraId="52064007">
      <w:pPr>
        <w:adjustRightInd w:val="0"/>
        <w:snapToGrid w:val="0"/>
        <w:spacing w:line="400" w:lineRule="exact"/>
        <w:ind w:firstLine="960" w:firstLineChars="400"/>
        <w:rPr>
          <w:rFonts w:hint="eastAsia" w:ascii="宋体" w:hAnsi="宋体" w:eastAsia="宋体" w:cs="宋体"/>
          <w:sz w:val="24"/>
          <w:szCs w:val="24"/>
          <w:u w:val="single"/>
        </w:rPr>
      </w:pPr>
      <w:r>
        <w:rPr>
          <w:rFonts w:hint="eastAsia" w:ascii="宋体" w:hAnsi="宋体" w:eastAsia="宋体" w:cs="宋体"/>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是，《政府采购品目分类目录》底级品目名称：</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金额：</w:t>
      </w:r>
      <w:r>
        <w:rPr>
          <w:rFonts w:hint="eastAsia" w:ascii="宋体" w:hAnsi="宋体" w:eastAsia="宋体" w:cs="宋体"/>
          <w:sz w:val="24"/>
          <w:szCs w:val="24"/>
          <w:u w:val="single"/>
        </w:rPr>
        <w:t xml:space="preserve">        </w:t>
      </w:r>
    </w:p>
    <w:p w14:paraId="5A7C4EA0">
      <w:pPr>
        <w:adjustRightInd w:val="0"/>
        <w:snapToGrid w:val="0"/>
        <w:spacing w:line="400" w:lineRule="exact"/>
        <w:ind w:firstLine="960" w:firstLineChars="400"/>
        <w:rPr>
          <w:rFonts w:hint="eastAsia" w:ascii="宋体" w:hAnsi="宋体" w:eastAsia="宋体" w:cs="宋体"/>
          <w:sz w:val="24"/>
          <w:szCs w:val="24"/>
        </w:rPr>
      </w:pPr>
      <w:r>
        <w:rPr>
          <w:rFonts w:hint="eastAsia" w:ascii="宋体" w:hAnsi="宋体" w:eastAsia="宋体" w:cs="宋体"/>
          <w:sz w:val="24"/>
          <w:szCs w:val="24"/>
        </w:rPr>
        <w:t xml:space="preserve">        国别：</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品牌：</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规格型号：</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7E58D25B">
      <w:pPr>
        <w:adjustRightInd w:val="0"/>
        <w:snapToGrid w:val="0"/>
        <w:spacing w:line="400" w:lineRule="exact"/>
        <w:ind w:firstLine="960" w:firstLineChars="400"/>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否</w:t>
      </w:r>
    </w:p>
    <w:p w14:paraId="25A00BC3">
      <w:pPr>
        <w:tabs>
          <w:tab w:val="left" w:pos="740"/>
        </w:tabs>
        <w:adjustRightInd w:val="0"/>
        <w:snapToGrid w:val="0"/>
        <w:spacing w:line="400" w:lineRule="exact"/>
        <w:rPr>
          <w:rFonts w:hint="eastAsia" w:ascii="宋体" w:hAnsi="宋体" w:eastAsia="宋体" w:cs="宋体"/>
          <w:sz w:val="24"/>
          <w:szCs w:val="24"/>
        </w:rPr>
      </w:pPr>
      <w:r>
        <w:rPr>
          <w:rFonts w:hint="eastAsia" w:ascii="宋体" w:hAnsi="宋体" w:eastAsia="宋体" w:cs="宋体"/>
          <w:sz w:val="24"/>
          <w:szCs w:val="24"/>
        </w:rPr>
        <w:t xml:space="preserve">    （1</w:t>
      </w:r>
      <w:r>
        <w:rPr>
          <w:rFonts w:hint="eastAsia" w:ascii="宋体" w:hAnsi="宋体" w:eastAsia="宋体" w:cs="宋体"/>
          <w:sz w:val="24"/>
          <w:szCs w:val="24"/>
          <w:lang w:val="en"/>
        </w:rPr>
        <w:t>0</w:t>
      </w:r>
      <w:r>
        <w:rPr>
          <w:rFonts w:hint="eastAsia" w:ascii="宋体" w:hAnsi="宋体" w:eastAsia="宋体" w:cs="宋体"/>
          <w:sz w:val="24"/>
          <w:szCs w:val="24"/>
        </w:rPr>
        <w:t>）是否涉及节能产品：</w:t>
      </w:r>
    </w:p>
    <w:p w14:paraId="46CDAC06">
      <w:pPr>
        <w:tabs>
          <w:tab w:val="left" w:pos="740"/>
        </w:tabs>
        <w:adjustRightInd w:val="0"/>
        <w:snapToGrid w:val="0"/>
        <w:spacing w:line="400" w:lineRule="exact"/>
        <w:rPr>
          <w:rFonts w:hint="eastAsia" w:ascii="宋体" w:hAnsi="宋体" w:eastAsia="宋体" w:cs="宋体"/>
          <w:iCs/>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是，《节能产品政府采购品目清单》的底级品目名称：</w:t>
      </w:r>
      <w:r>
        <w:rPr>
          <w:rFonts w:hint="eastAsia" w:ascii="宋体" w:hAnsi="宋体" w:eastAsia="宋体" w:cs="宋体"/>
          <w:sz w:val="24"/>
          <w:szCs w:val="24"/>
          <w:u w:val="single"/>
        </w:rPr>
        <w:t xml:space="preserve">         </w:t>
      </w:r>
      <w:r>
        <w:rPr>
          <w:rFonts w:hint="eastAsia" w:ascii="宋体" w:hAnsi="宋体" w:eastAsia="宋体" w:cs="宋体"/>
          <w:iCs/>
          <w:sz w:val="24"/>
          <w:szCs w:val="24"/>
        </w:rPr>
        <w:t xml:space="preserve">     </w:t>
      </w:r>
    </w:p>
    <w:p w14:paraId="0F82BC8E">
      <w:pPr>
        <w:tabs>
          <w:tab w:val="left" w:pos="740"/>
        </w:tabs>
        <w:adjustRightInd w:val="0"/>
        <w:snapToGrid w:val="0"/>
        <w:spacing w:line="400" w:lineRule="exact"/>
        <w:rPr>
          <w:rFonts w:hint="eastAsia" w:ascii="宋体" w:hAnsi="宋体" w:eastAsia="宋体" w:cs="宋体"/>
          <w:iCs/>
          <w:sz w:val="24"/>
          <w:szCs w:val="24"/>
        </w:rPr>
      </w:pP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强制采购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优先采购    </w:t>
      </w:r>
    </w:p>
    <w:p w14:paraId="7512498E">
      <w:pPr>
        <w:tabs>
          <w:tab w:val="left" w:pos="740"/>
        </w:tabs>
        <w:adjustRightInd w:val="0"/>
        <w:snapToGrid w:val="0"/>
        <w:spacing w:line="400" w:lineRule="exact"/>
        <w:rPr>
          <w:rFonts w:hint="eastAsia" w:ascii="宋体" w:hAnsi="宋体" w:eastAsia="宋体" w:cs="宋体"/>
          <w:sz w:val="24"/>
          <w:szCs w:val="24"/>
        </w:rPr>
      </w:pPr>
      <w:r>
        <w:rPr>
          <w:rFonts w:hint="eastAsia" w:ascii="宋体" w:hAnsi="宋体" w:eastAsia="宋体" w:cs="宋体"/>
          <w:iCs/>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否</w:t>
      </w:r>
    </w:p>
    <w:p w14:paraId="731F894B">
      <w:pPr>
        <w:tabs>
          <w:tab w:val="left" w:pos="740"/>
        </w:tabs>
        <w:adjustRightInd w:val="0"/>
        <w:snapToGrid w:val="0"/>
        <w:spacing w:line="400" w:lineRule="exact"/>
        <w:rPr>
          <w:rFonts w:hint="eastAsia" w:ascii="宋体" w:hAnsi="宋体" w:eastAsia="宋体" w:cs="宋体"/>
          <w:sz w:val="24"/>
          <w:szCs w:val="24"/>
        </w:rPr>
      </w:pPr>
      <w:r>
        <w:rPr>
          <w:rFonts w:hint="eastAsia" w:ascii="宋体" w:hAnsi="宋体" w:eastAsia="宋体" w:cs="宋体"/>
          <w:sz w:val="24"/>
          <w:szCs w:val="24"/>
        </w:rPr>
        <w:t xml:space="preserve">          是否涉及环境标志产品：</w:t>
      </w:r>
    </w:p>
    <w:p w14:paraId="5DAF0DBB">
      <w:pPr>
        <w:tabs>
          <w:tab w:val="left" w:pos="740"/>
        </w:tabs>
        <w:adjustRightInd w:val="0"/>
        <w:snapToGrid w:val="0"/>
        <w:spacing w:line="400" w:lineRule="exac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是，《环境标志产品政府采购品目清单》的底级品目名称：</w:t>
      </w:r>
      <w:r>
        <w:rPr>
          <w:rFonts w:hint="eastAsia" w:ascii="宋体" w:hAnsi="宋体" w:eastAsia="宋体" w:cs="宋体"/>
          <w:sz w:val="24"/>
          <w:szCs w:val="24"/>
          <w:u w:val="single"/>
        </w:rPr>
        <w:t xml:space="preserve">         </w:t>
      </w:r>
      <w:r>
        <w:rPr>
          <w:rFonts w:hint="eastAsia" w:ascii="宋体" w:hAnsi="宋体" w:eastAsia="宋体" w:cs="宋体"/>
          <w:iCs/>
          <w:sz w:val="24"/>
          <w:szCs w:val="24"/>
        </w:rPr>
        <w:t xml:space="preserve"> </w:t>
      </w:r>
    </w:p>
    <w:p w14:paraId="3AA4A25B">
      <w:pPr>
        <w:tabs>
          <w:tab w:val="left" w:pos="740"/>
        </w:tabs>
        <w:adjustRightInd w:val="0"/>
        <w:snapToGrid w:val="0"/>
        <w:spacing w:line="400" w:lineRule="exact"/>
        <w:rPr>
          <w:rFonts w:hint="eastAsia" w:ascii="宋体" w:hAnsi="宋体" w:eastAsia="宋体" w:cs="宋体"/>
          <w:iCs/>
          <w:sz w:val="24"/>
          <w:szCs w:val="24"/>
        </w:rPr>
      </w:pP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强制采购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优先采购    </w:t>
      </w:r>
    </w:p>
    <w:p w14:paraId="7F6B8087">
      <w:pPr>
        <w:tabs>
          <w:tab w:val="left" w:pos="740"/>
        </w:tabs>
        <w:adjustRightInd w:val="0"/>
        <w:snapToGrid w:val="0"/>
        <w:spacing w:line="400" w:lineRule="exact"/>
        <w:rPr>
          <w:rFonts w:hint="eastAsia" w:ascii="宋体" w:hAnsi="宋体" w:eastAsia="宋体" w:cs="宋体"/>
          <w:sz w:val="24"/>
          <w:szCs w:val="24"/>
        </w:rPr>
      </w:pPr>
      <w:r>
        <w:rPr>
          <w:rFonts w:hint="eastAsia" w:ascii="宋体" w:hAnsi="宋体" w:eastAsia="宋体" w:cs="宋体"/>
          <w:iCs/>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否</w:t>
      </w:r>
    </w:p>
    <w:p w14:paraId="65759255">
      <w:pPr>
        <w:pStyle w:val="167"/>
        <w:snapToGrid w:val="0"/>
        <w:ind w:firstLine="0" w:firstLineChars="0"/>
        <w:rPr>
          <w:rFonts w:hint="eastAsia" w:ascii="宋体" w:hAnsi="宋体" w:eastAsia="宋体" w:cs="宋体"/>
          <w:kern w:val="2"/>
          <w:sz w:val="24"/>
          <w:szCs w:val="24"/>
        </w:rPr>
      </w:pPr>
      <w:r>
        <w:rPr>
          <w:rFonts w:hint="eastAsia" w:ascii="宋体" w:hAnsi="宋体" w:eastAsia="宋体" w:cs="宋体"/>
          <w:sz w:val="24"/>
          <w:szCs w:val="24"/>
        </w:rPr>
        <w:t xml:space="preserve">          </w:t>
      </w:r>
      <w:r>
        <w:rPr>
          <w:rFonts w:hint="eastAsia" w:ascii="宋体" w:hAnsi="宋体" w:eastAsia="宋体" w:cs="宋体"/>
          <w:kern w:val="2"/>
          <w:sz w:val="24"/>
          <w:szCs w:val="24"/>
        </w:rPr>
        <w:t xml:space="preserve">是否涉及绿色产品： </w:t>
      </w:r>
    </w:p>
    <w:p w14:paraId="4E28FF06">
      <w:pPr>
        <w:pStyle w:val="167"/>
        <w:ind w:firstLine="420" w:firstLineChars="0"/>
        <w:rPr>
          <w:rFonts w:hint="eastAsia" w:ascii="宋体" w:hAnsi="宋体" w:eastAsia="宋体" w:cs="宋体"/>
          <w:sz w:val="24"/>
          <w:szCs w:val="24"/>
          <w:u w:val="single"/>
        </w:rPr>
      </w:pPr>
      <w:r>
        <w:rPr>
          <w:rFonts w:hint="eastAsia" w:ascii="宋体" w:hAnsi="宋体" w:eastAsia="宋体" w:cs="宋体"/>
          <w:kern w:val="2"/>
          <w:sz w:val="24"/>
          <w:szCs w:val="24"/>
        </w:rPr>
        <w:t xml:space="preserve">     </w:t>
      </w:r>
      <w:r>
        <w:rPr>
          <w:rFonts w:hint="eastAsia" w:ascii="宋体" w:hAnsi="宋体" w:eastAsia="宋体" w:cs="宋体"/>
          <w:kern w:val="2"/>
          <w:sz w:val="24"/>
          <w:szCs w:val="24"/>
          <w:lang w:val="en-US" w:eastAsia="zh-CN"/>
        </w:rPr>
        <w:t xml:space="preserve"> </w:t>
      </w:r>
      <w:r>
        <w:rPr>
          <w:rFonts w:hint="eastAsia" w:ascii="宋体" w:hAnsi="宋体" w:eastAsia="宋体" w:cs="宋体"/>
          <w:kern w:val="2"/>
          <w:sz w:val="24"/>
          <w:szCs w:val="24"/>
        </w:rPr>
        <w:sym w:font="Wingdings" w:char="00A8"/>
      </w:r>
      <w:r>
        <w:rPr>
          <w:rFonts w:hint="eastAsia" w:ascii="宋体" w:hAnsi="宋体" w:eastAsia="宋体" w:cs="宋体"/>
          <w:kern w:val="2"/>
          <w:sz w:val="24"/>
          <w:szCs w:val="24"/>
        </w:rPr>
        <w:t>是，绿色产品政府采购相关政策确定的底级品目名称：</w:t>
      </w:r>
      <w:r>
        <w:rPr>
          <w:rFonts w:hint="eastAsia" w:ascii="宋体" w:hAnsi="宋体" w:eastAsia="宋体" w:cs="宋体"/>
          <w:sz w:val="24"/>
          <w:szCs w:val="24"/>
          <w:u w:val="single"/>
        </w:rPr>
        <w:t xml:space="preserve">         </w:t>
      </w:r>
    </w:p>
    <w:p w14:paraId="4CF0429B">
      <w:pPr>
        <w:tabs>
          <w:tab w:val="left" w:pos="740"/>
        </w:tabs>
        <w:adjustRightInd w:val="0"/>
        <w:snapToGrid w:val="0"/>
        <w:spacing w:line="400" w:lineRule="exact"/>
        <w:rPr>
          <w:rFonts w:hint="eastAsia" w:ascii="宋体" w:hAnsi="宋体" w:eastAsia="宋体" w:cs="宋体"/>
          <w:iCs/>
          <w:sz w:val="24"/>
          <w:szCs w:val="24"/>
        </w:rPr>
      </w:pP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强制采购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优先采购    </w:t>
      </w:r>
    </w:p>
    <w:p w14:paraId="3D09C690">
      <w:pPr>
        <w:pStyle w:val="167"/>
        <w:ind w:firstLine="420" w:firstLineChars="0"/>
        <w:rPr>
          <w:rFonts w:hint="eastAsia" w:ascii="宋体" w:hAnsi="宋体" w:eastAsia="宋体" w:cs="宋体"/>
          <w:sz w:val="24"/>
          <w:szCs w:val="24"/>
        </w:rPr>
      </w:pPr>
      <w:r>
        <w:rPr>
          <w:rFonts w:hint="eastAsia" w:ascii="宋体" w:hAnsi="宋体" w:eastAsia="宋体" w:cs="宋体"/>
          <w:kern w:val="2"/>
          <w:sz w:val="24"/>
          <w:szCs w:val="24"/>
        </w:rPr>
        <w:t xml:space="preserve">   </w:t>
      </w:r>
      <w:r>
        <w:rPr>
          <w:rFonts w:hint="eastAsia" w:ascii="宋体" w:hAnsi="宋体" w:eastAsia="宋体" w:cs="宋体"/>
          <w:kern w:val="2"/>
          <w:sz w:val="24"/>
          <w:szCs w:val="24"/>
          <w:lang w:val="en-US" w:eastAsia="zh-CN"/>
        </w:rPr>
        <w:t xml:space="preserve"> </w:t>
      </w:r>
      <w:r>
        <w:rPr>
          <w:rFonts w:hint="eastAsia" w:ascii="宋体" w:hAnsi="宋体" w:eastAsia="宋体" w:cs="宋体"/>
          <w:kern w:val="2"/>
          <w:sz w:val="24"/>
          <w:szCs w:val="24"/>
        </w:rPr>
        <w:t xml:space="preserve">  </w:t>
      </w:r>
      <w:r>
        <w:rPr>
          <w:rFonts w:hint="eastAsia" w:ascii="宋体" w:hAnsi="宋体" w:eastAsia="宋体" w:cs="宋体"/>
          <w:kern w:val="2"/>
          <w:sz w:val="24"/>
          <w:szCs w:val="24"/>
        </w:rPr>
        <w:sym w:font="Wingdings" w:char="00A8"/>
      </w:r>
      <w:r>
        <w:rPr>
          <w:rFonts w:hint="eastAsia" w:ascii="宋体" w:hAnsi="宋体" w:eastAsia="宋体" w:cs="宋体"/>
          <w:kern w:val="2"/>
          <w:sz w:val="24"/>
          <w:szCs w:val="24"/>
        </w:rPr>
        <w:t>否</w:t>
      </w:r>
    </w:p>
    <w:p w14:paraId="086838A5">
      <w:pPr>
        <w:adjustRightInd w:val="0"/>
        <w:snapToGrid w:val="0"/>
        <w:spacing w:line="400" w:lineRule="exact"/>
        <w:rPr>
          <w:rFonts w:hint="eastAsia" w:ascii="宋体" w:hAnsi="宋体" w:eastAsia="宋体" w:cs="宋体"/>
          <w:sz w:val="24"/>
          <w:szCs w:val="24"/>
        </w:rPr>
      </w:pPr>
      <w:r>
        <w:rPr>
          <w:rFonts w:hint="eastAsia" w:ascii="宋体" w:hAnsi="宋体" w:eastAsia="宋体" w:cs="宋体"/>
          <w:sz w:val="24"/>
          <w:szCs w:val="24"/>
        </w:rPr>
        <w:t xml:space="preserve">    （1</w:t>
      </w:r>
      <w:r>
        <w:rPr>
          <w:rFonts w:hint="eastAsia" w:ascii="宋体" w:hAnsi="宋体" w:eastAsia="宋体" w:cs="宋体"/>
          <w:sz w:val="24"/>
          <w:szCs w:val="24"/>
          <w:lang w:val="en"/>
        </w:rPr>
        <w:t>1</w:t>
      </w:r>
      <w:r>
        <w:rPr>
          <w:rFonts w:hint="eastAsia" w:ascii="宋体" w:hAnsi="宋体" w:eastAsia="宋体" w:cs="宋体"/>
          <w:sz w:val="24"/>
          <w:szCs w:val="24"/>
        </w:rPr>
        <w:t>）涉及商品包装和快递包装的，是否参考《商品包装政府采购需求标准（试行）》、《快递包装政府采购需求标准（试行）》明确产品及相关快递服务的具体包装要求：</w:t>
      </w:r>
    </w:p>
    <w:p w14:paraId="524825BE">
      <w:pPr>
        <w:adjustRightInd w:val="0"/>
        <w:snapToGrid w:val="0"/>
        <w:spacing w:line="400" w:lineRule="exact"/>
        <w:ind w:firstLine="960" w:firstLineChars="400"/>
        <w:rPr>
          <w:rFonts w:hint="eastAsia"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否      </w:t>
      </w:r>
      <w:r>
        <w:rPr>
          <w:rFonts w:hint="eastAsia" w:ascii="宋体" w:hAnsi="宋体" w:eastAsia="宋体" w:cs="宋体"/>
          <w:sz w:val="24"/>
          <w:szCs w:val="24"/>
        </w:rPr>
        <w:sym w:font="Wingdings" w:char="00A8"/>
      </w:r>
      <w:r>
        <w:rPr>
          <w:rFonts w:hint="eastAsia" w:ascii="宋体" w:hAnsi="宋体" w:eastAsia="宋体" w:cs="宋体"/>
          <w:sz w:val="24"/>
          <w:szCs w:val="24"/>
        </w:rPr>
        <w:t>不涉及</w:t>
      </w:r>
    </w:p>
    <w:p w14:paraId="7D3DCBD2">
      <w:pPr>
        <w:numPr>
          <w:ilvl w:val="0"/>
          <w:numId w:val="4"/>
        </w:numPr>
        <w:adjustRightInd w:val="0"/>
        <w:snapToGrid w:val="0"/>
        <w:spacing w:line="400" w:lineRule="exact"/>
        <w:ind w:firstLine="480" w:firstLineChars="200"/>
        <w:rPr>
          <w:rFonts w:hint="eastAsia" w:ascii="宋体" w:hAnsi="宋体" w:eastAsia="宋体" w:cs="宋体"/>
          <w:b/>
          <w:sz w:val="24"/>
          <w:szCs w:val="24"/>
        </w:rPr>
      </w:pPr>
      <w:r>
        <w:rPr>
          <w:rFonts w:hint="eastAsia" w:ascii="宋体" w:hAnsi="宋体" w:eastAsia="宋体" w:cs="宋体"/>
          <w:b/>
          <w:sz w:val="24"/>
          <w:szCs w:val="24"/>
        </w:rPr>
        <w:t>合同金额</w:t>
      </w:r>
    </w:p>
    <w:p w14:paraId="38F81A9C">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（1）合同金额小写：</w:t>
      </w:r>
      <w:r>
        <w:rPr>
          <w:rFonts w:hint="eastAsia" w:ascii="宋体" w:hAnsi="宋体" w:eastAsia="宋体" w:cs="宋体"/>
          <w:sz w:val="24"/>
          <w:szCs w:val="24"/>
          <w:u w:val="single"/>
        </w:rPr>
        <w:t xml:space="preserve">                           </w:t>
      </w:r>
    </w:p>
    <w:p w14:paraId="693BE50C">
      <w:pPr>
        <w:adjustRightInd w:val="0"/>
        <w:snapToGrid w:val="0"/>
        <w:spacing w:line="400" w:lineRule="exact"/>
        <w:rPr>
          <w:rFonts w:hint="eastAsia" w:ascii="宋体" w:hAnsi="宋体" w:eastAsia="宋体" w:cs="宋体"/>
          <w:sz w:val="24"/>
          <w:szCs w:val="24"/>
          <w:u w:val="single"/>
        </w:rPr>
      </w:pPr>
      <w:r>
        <w:rPr>
          <w:rFonts w:hint="eastAsia" w:ascii="宋体" w:hAnsi="宋体" w:eastAsia="宋体" w:cs="宋体"/>
          <w:sz w:val="24"/>
          <w:szCs w:val="24"/>
        </w:rPr>
        <w:t xml:space="preserve">                 大写：</w:t>
      </w:r>
      <w:r>
        <w:rPr>
          <w:rFonts w:hint="eastAsia" w:ascii="宋体" w:hAnsi="宋体" w:eastAsia="宋体" w:cs="宋体"/>
          <w:sz w:val="24"/>
          <w:szCs w:val="24"/>
          <w:u w:val="single"/>
        </w:rPr>
        <w:t xml:space="preserve">                           </w:t>
      </w:r>
    </w:p>
    <w:p w14:paraId="2B2AA516">
      <w:pPr>
        <w:adjustRightInd w:val="0"/>
        <w:snapToGrid w:val="0"/>
        <w:spacing w:line="400" w:lineRule="exact"/>
        <w:rPr>
          <w:rFonts w:hint="eastAsia" w:ascii="宋体" w:hAnsi="宋体" w:eastAsia="宋体" w:cs="宋体"/>
          <w:sz w:val="24"/>
          <w:szCs w:val="24"/>
        </w:rPr>
      </w:pPr>
      <w:r>
        <w:rPr>
          <w:rFonts w:hint="eastAsia" w:ascii="宋体" w:hAnsi="宋体" w:eastAsia="宋体" w:cs="宋体"/>
          <w:sz w:val="24"/>
          <w:szCs w:val="24"/>
        </w:rPr>
        <w:t xml:space="preserve">     分包金额（如有）小写：</w:t>
      </w:r>
      <w:r>
        <w:rPr>
          <w:rFonts w:hint="eastAsia" w:ascii="宋体" w:hAnsi="宋体" w:eastAsia="宋体" w:cs="宋体"/>
          <w:sz w:val="24"/>
          <w:szCs w:val="24"/>
          <w:u w:val="single"/>
        </w:rPr>
        <w:t xml:space="preserve">                   </w:t>
      </w:r>
    </w:p>
    <w:p w14:paraId="76C70896">
      <w:pPr>
        <w:adjustRightInd w:val="0"/>
        <w:snapToGrid w:val="0"/>
        <w:spacing w:line="400" w:lineRule="exact"/>
        <w:rPr>
          <w:rFonts w:hint="eastAsia" w:ascii="宋体" w:hAnsi="宋体" w:eastAsia="宋体" w:cs="宋体"/>
          <w:sz w:val="24"/>
          <w:szCs w:val="24"/>
          <w:u w:val="single"/>
        </w:rPr>
      </w:pPr>
      <w:r>
        <w:rPr>
          <w:rFonts w:hint="eastAsia" w:ascii="宋体" w:hAnsi="宋体" w:eastAsia="宋体" w:cs="宋体"/>
          <w:sz w:val="24"/>
          <w:szCs w:val="24"/>
        </w:rPr>
        <w:t xml:space="preserve">                </w:t>
      </w:r>
      <w:r>
        <w:rPr>
          <w:rFonts w:hint="eastAsia" w:ascii="宋体" w:hAnsi="宋体" w:cs="宋体"/>
          <w:sz w:val="24"/>
          <w:szCs w:val="24"/>
          <w:lang w:val="en-US" w:eastAsia="zh-CN"/>
        </w:rPr>
        <w:t xml:space="preserve">    </w:t>
      </w:r>
      <w:r>
        <w:rPr>
          <w:rFonts w:hint="eastAsia" w:ascii="宋体" w:hAnsi="宋体" w:eastAsia="宋体" w:cs="宋体"/>
          <w:sz w:val="24"/>
          <w:szCs w:val="24"/>
        </w:rPr>
        <w:t xml:space="preserve"> 大写：</w:t>
      </w:r>
      <w:r>
        <w:rPr>
          <w:rFonts w:hint="eastAsia" w:ascii="宋体" w:hAnsi="宋体" w:eastAsia="宋体" w:cs="宋体"/>
          <w:sz w:val="24"/>
          <w:szCs w:val="24"/>
          <w:u w:val="single"/>
        </w:rPr>
        <w:t xml:space="preserve">                       </w:t>
      </w:r>
    </w:p>
    <w:p w14:paraId="4F0E3834">
      <w:pPr>
        <w:adjustRightInd w:val="0"/>
        <w:snapToGrid w:val="0"/>
        <w:spacing w:line="400" w:lineRule="exact"/>
        <w:rPr>
          <w:rFonts w:hint="eastAsia" w:ascii="宋体" w:hAnsi="宋体" w:eastAsia="宋体" w:cs="宋体"/>
          <w:sz w:val="24"/>
          <w:szCs w:val="24"/>
        </w:rPr>
      </w:pPr>
      <w:r>
        <w:rPr>
          <w:rFonts w:hint="eastAsia" w:ascii="宋体" w:hAnsi="宋体" w:eastAsia="宋体" w:cs="宋体"/>
          <w:sz w:val="24"/>
          <w:szCs w:val="24"/>
        </w:rPr>
        <w:t xml:space="preserve">    （注：固定单价合同应填写单价和最高限价）</w:t>
      </w:r>
    </w:p>
    <w:p w14:paraId="04713BEC">
      <w:pPr>
        <w:adjustRightInd w:val="0"/>
        <w:snapToGrid w:val="0"/>
        <w:spacing w:line="400" w:lineRule="exact"/>
        <w:rPr>
          <w:rFonts w:hint="eastAsia" w:ascii="宋体" w:hAnsi="宋体" w:eastAsia="宋体" w:cs="宋体"/>
          <w:sz w:val="24"/>
          <w:szCs w:val="24"/>
        </w:rPr>
      </w:pPr>
      <w:r>
        <w:rPr>
          <w:rFonts w:hint="eastAsia" w:ascii="宋体" w:hAnsi="宋体" w:eastAsia="宋体" w:cs="宋体"/>
          <w:sz w:val="24"/>
          <w:szCs w:val="24"/>
        </w:rPr>
        <w:t xml:space="preserve">    （2）合同定价方式（采用组合定价方式的，可以勾选多项）：</w:t>
      </w:r>
    </w:p>
    <w:p w14:paraId="5F745942">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固定总价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固定单价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固定费率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成本补偿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绩效激励 </w:t>
      </w:r>
      <w:r>
        <w:rPr>
          <w:rFonts w:hint="eastAsia" w:ascii="宋体" w:hAnsi="宋体" w:eastAsia="宋体" w:cs="宋体"/>
          <w:iCs/>
          <w:sz w:val="24"/>
          <w:szCs w:val="24"/>
        </w:rPr>
        <w:sym w:font="Wingdings" w:char="00A8"/>
      </w:r>
      <w:r>
        <w:rPr>
          <w:rFonts w:hint="eastAsia" w:ascii="宋体" w:hAnsi="宋体" w:eastAsia="宋体" w:cs="宋体"/>
          <w:iCs/>
          <w:sz w:val="24"/>
          <w:szCs w:val="24"/>
        </w:rPr>
        <w:t>其他</w:t>
      </w:r>
      <w:r>
        <w:rPr>
          <w:rFonts w:hint="eastAsia" w:ascii="宋体" w:hAnsi="宋体" w:eastAsia="宋体" w:cs="宋体"/>
          <w:sz w:val="24"/>
          <w:szCs w:val="24"/>
          <w:u w:val="single"/>
        </w:rPr>
        <w:t xml:space="preserve">       </w:t>
      </w:r>
    </w:p>
    <w:p w14:paraId="63463B60">
      <w:pPr>
        <w:pStyle w:val="101"/>
        <w:spacing w:line="400" w:lineRule="exact"/>
        <w:ind w:firstLine="480"/>
        <w:rPr>
          <w:rFonts w:hint="eastAsia" w:ascii="宋体" w:hAnsi="宋体" w:eastAsia="宋体" w:cs="宋体"/>
          <w:sz w:val="24"/>
          <w:szCs w:val="24"/>
        </w:rPr>
      </w:pPr>
      <w:r>
        <w:rPr>
          <w:rFonts w:hint="eastAsia" w:ascii="宋体" w:hAnsi="宋体" w:eastAsia="宋体" w:cs="宋体"/>
          <w:sz w:val="24"/>
          <w:szCs w:val="24"/>
        </w:rPr>
        <w:t>（3）付款方式（按项目实际勾选填写）：</w:t>
      </w:r>
    </w:p>
    <w:p w14:paraId="37C35217">
      <w:pPr>
        <w:adjustRightInd w:val="0"/>
        <w:snapToGrid w:val="0"/>
        <w:spacing w:line="400" w:lineRule="exact"/>
        <w:ind w:firstLine="720" w:firstLineChars="300"/>
        <w:rPr>
          <w:rFonts w:hint="eastAsia" w:ascii="宋体" w:hAnsi="宋体" w:eastAsia="宋体" w:cs="宋体"/>
          <w:sz w:val="24"/>
          <w:szCs w:val="24"/>
          <w:u w:val="single"/>
        </w:rPr>
      </w:pPr>
      <w:r>
        <w:rPr>
          <w:rFonts w:hint="eastAsia" w:ascii="宋体" w:hAnsi="宋体" w:eastAsia="宋体" w:cs="宋体"/>
          <w:sz w:val="24"/>
          <w:szCs w:val="24"/>
        </w:rPr>
        <w:sym w:font="Wingdings" w:char="00A8"/>
      </w:r>
      <w:r>
        <w:rPr>
          <w:rFonts w:hint="eastAsia" w:ascii="宋体" w:hAnsi="宋体" w:eastAsia="宋体" w:cs="宋体"/>
          <w:sz w:val="24"/>
          <w:szCs w:val="24"/>
        </w:rPr>
        <w:t>全额付款：</w:t>
      </w:r>
      <w:r>
        <w:rPr>
          <w:rFonts w:hint="eastAsia" w:ascii="宋体" w:hAnsi="宋体" w:eastAsia="宋体" w:cs="宋体"/>
          <w:sz w:val="24"/>
          <w:szCs w:val="24"/>
          <w:u w:val="single"/>
        </w:rPr>
        <w:t xml:space="preserve">     （应明确一次性支付合同款项的条件）                    </w:t>
      </w:r>
    </w:p>
    <w:p w14:paraId="5B1888A2">
      <w:pPr>
        <w:snapToGrid w:val="0"/>
        <w:spacing w:line="400" w:lineRule="exact"/>
        <w:ind w:firstLine="720" w:firstLineChars="300"/>
        <w:rPr>
          <w:rFonts w:hint="eastAsia"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rPr>
        <w:t>分期付款：</w:t>
      </w:r>
      <w:r>
        <w:rPr>
          <w:rFonts w:hint="eastAsia" w:ascii="宋体" w:hAnsi="宋体" w:eastAsia="宋体" w:cs="宋体"/>
          <w:sz w:val="24"/>
          <w:szCs w:val="24"/>
          <w:u w:val="single"/>
        </w:rPr>
        <w:t xml:space="preserve">  （应明确分期支付合同款项的各期比例和支付条件，各期支付条件应与分期履约验收情况挂钩） </w:t>
      </w:r>
      <w:r>
        <w:rPr>
          <w:rFonts w:hint="eastAsia" w:ascii="宋体" w:hAnsi="宋体" w:eastAsia="宋体" w:cs="宋体"/>
          <w:sz w:val="24"/>
          <w:szCs w:val="24"/>
        </w:rPr>
        <w:t>，其中涉及预付款的：</w:t>
      </w:r>
      <w:r>
        <w:rPr>
          <w:rFonts w:hint="eastAsia" w:ascii="宋体" w:hAnsi="宋体" w:eastAsia="宋体" w:cs="宋体"/>
          <w:sz w:val="24"/>
          <w:szCs w:val="24"/>
          <w:u w:val="single"/>
        </w:rPr>
        <w:t xml:space="preserve"> （应明确预付款的支付比例和支付条件） </w:t>
      </w:r>
    </w:p>
    <w:p w14:paraId="7526D91F">
      <w:pPr>
        <w:adjustRightInd w:val="0"/>
        <w:snapToGrid w:val="0"/>
        <w:spacing w:line="400" w:lineRule="exact"/>
        <w:ind w:firstLine="720" w:firstLineChars="300"/>
        <w:rPr>
          <w:rFonts w:hint="eastAsia" w:ascii="宋体" w:hAnsi="宋体" w:eastAsia="宋体" w:cs="宋体"/>
          <w:sz w:val="24"/>
          <w:szCs w:val="24"/>
          <w:u w:val="single"/>
        </w:rPr>
      </w:pPr>
      <w:r>
        <w:rPr>
          <w:rFonts w:hint="eastAsia" w:ascii="宋体" w:hAnsi="宋体" w:eastAsia="宋体" w:cs="宋体"/>
          <w:sz w:val="24"/>
          <w:szCs w:val="24"/>
        </w:rPr>
        <w:sym w:font="Wingdings" w:char="00A8"/>
      </w:r>
      <w:r>
        <w:rPr>
          <w:rFonts w:hint="eastAsia" w:ascii="宋体" w:hAnsi="宋体" w:eastAsia="宋体" w:cs="宋体"/>
          <w:sz w:val="24"/>
          <w:szCs w:val="24"/>
        </w:rPr>
        <w:t>成本补偿：</w:t>
      </w:r>
      <w:r>
        <w:rPr>
          <w:rFonts w:hint="eastAsia" w:ascii="宋体" w:hAnsi="宋体" w:eastAsia="宋体" w:cs="宋体"/>
          <w:sz w:val="24"/>
          <w:szCs w:val="24"/>
          <w:u w:val="single"/>
        </w:rPr>
        <w:t xml:space="preserve">      （应明确按照成本补偿方式的支付方式和支付条件）   </w:t>
      </w:r>
    </w:p>
    <w:p w14:paraId="486ECDA0">
      <w:pPr>
        <w:adjustRightInd w:val="0"/>
        <w:snapToGrid w:val="0"/>
        <w:spacing w:line="400" w:lineRule="exact"/>
        <w:ind w:firstLine="720" w:firstLineChars="300"/>
        <w:rPr>
          <w:rFonts w:hint="eastAsia"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rPr>
        <w:t>绩效激励：</w:t>
      </w:r>
      <w:r>
        <w:rPr>
          <w:rFonts w:hint="eastAsia" w:ascii="宋体" w:hAnsi="宋体" w:eastAsia="宋体" w:cs="宋体"/>
          <w:sz w:val="24"/>
          <w:szCs w:val="24"/>
          <w:u w:val="single"/>
        </w:rPr>
        <w:t xml:space="preserve">      （应明确按照绩效激励方式的支付方式和支付条件）   </w:t>
      </w:r>
    </w:p>
    <w:p w14:paraId="5FCC33DB">
      <w:pPr>
        <w:numPr>
          <w:ilvl w:val="0"/>
          <w:numId w:val="4"/>
        </w:numPr>
        <w:adjustRightInd w:val="0"/>
        <w:snapToGrid w:val="0"/>
        <w:spacing w:line="400" w:lineRule="exact"/>
        <w:ind w:firstLine="480" w:firstLineChars="200"/>
        <w:rPr>
          <w:rFonts w:hint="eastAsia" w:ascii="宋体" w:hAnsi="宋体" w:eastAsia="宋体" w:cs="宋体"/>
          <w:b/>
          <w:sz w:val="24"/>
          <w:szCs w:val="24"/>
          <w:u w:val="single"/>
        </w:rPr>
      </w:pPr>
      <w:r>
        <w:rPr>
          <w:rFonts w:hint="eastAsia" w:ascii="宋体" w:hAnsi="宋体" w:eastAsia="宋体" w:cs="宋体"/>
          <w:b/>
          <w:sz w:val="24"/>
          <w:szCs w:val="24"/>
        </w:rPr>
        <w:t>合同履行</w:t>
      </w:r>
    </w:p>
    <w:p w14:paraId="63808DC6">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（1）起始日期：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日，完成日期：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4BD898AD">
      <w:pPr>
        <w:adjustRightInd w:val="0"/>
        <w:snapToGrid w:val="0"/>
        <w:spacing w:line="400" w:lineRule="exact"/>
        <w:ind w:firstLine="480" w:firstLineChars="200"/>
        <w:rPr>
          <w:rFonts w:hint="eastAsia" w:ascii="宋体" w:hAnsi="宋体" w:eastAsia="宋体" w:cs="宋体"/>
          <w:sz w:val="24"/>
          <w:szCs w:val="24"/>
          <w:u w:val="single"/>
        </w:rPr>
      </w:pPr>
      <w:r>
        <w:rPr>
          <w:rFonts w:hint="eastAsia" w:ascii="宋体" w:hAnsi="宋体" w:eastAsia="宋体" w:cs="宋体"/>
          <w:sz w:val="24"/>
          <w:szCs w:val="24"/>
        </w:rPr>
        <w:t>（2）履约地点</w:t>
      </w:r>
      <w:r>
        <w:rPr>
          <w:rFonts w:hint="eastAsia" w:ascii="宋体" w:hAnsi="宋体" w:eastAsia="宋体" w:cs="宋体"/>
          <w:bCs/>
          <w:sz w:val="24"/>
          <w:szCs w:val="24"/>
        </w:rPr>
        <w:t>：</w:t>
      </w:r>
      <w:r>
        <w:rPr>
          <w:rFonts w:hint="eastAsia" w:ascii="宋体" w:hAnsi="宋体" w:eastAsia="宋体" w:cs="宋体"/>
          <w:sz w:val="24"/>
          <w:szCs w:val="24"/>
          <w:u w:val="single"/>
        </w:rPr>
        <w:t xml:space="preserve">                             </w:t>
      </w:r>
    </w:p>
    <w:p w14:paraId="4920DDA7">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bCs/>
          <w:sz w:val="24"/>
          <w:szCs w:val="24"/>
        </w:rPr>
        <w:t>（3）履约担保：</w:t>
      </w:r>
      <w:r>
        <w:rPr>
          <w:rFonts w:hint="eastAsia" w:ascii="宋体" w:hAnsi="宋体" w:eastAsia="宋体" w:cs="宋体"/>
          <w:sz w:val="24"/>
          <w:szCs w:val="24"/>
        </w:rPr>
        <w:t>是否收取履约保证金：</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sz w:val="24"/>
          <w:szCs w:val="24"/>
        </w:rPr>
        <w:t>否</w:t>
      </w:r>
    </w:p>
    <w:p w14:paraId="48E02B73">
      <w:pPr>
        <w:pStyle w:val="167"/>
        <w:rPr>
          <w:rFonts w:hint="eastAsia" w:ascii="宋体" w:hAnsi="宋体" w:eastAsia="宋体" w:cs="宋体"/>
          <w:sz w:val="24"/>
          <w:szCs w:val="24"/>
        </w:rPr>
      </w:pPr>
      <w:r>
        <w:rPr>
          <w:rFonts w:hint="eastAsia" w:ascii="宋体" w:hAnsi="宋体" w:eastAsia="宋体" w:cs="宋体"/>
          <w:bCs/>
          <w:sz w:val="24"/>
          <w:szCs w:val="24"/>
        </w:rPr>
        <w:t xml:space="preserve">  </w:t>
      </w:r>
      <w:r>
        <w:rPr>
          <w:rFonts w:hint="eastAsia" w:ascii="宋体" w:hAnsi="宋体" w:eastAsia="宋体" w:cs="宋体"/>
          <w:sz w:val="24"/>
          <w:szCs w:val="24"/>
        </w:rPr>
        <w:t xml:space="preserve">  收取履约保证金形式：</w:t>
      </w:r>
      <w:r>
        <w:rPr>
          <w:rFonts w:hint="eastAsia" w:ascii="宋体" w:hAnsi="宋体" w:eastAsia="宋体" w:cs="宋体"/>
          <w:bCs/>
          <w:sz w:val="24"/>
          <w:szCs w:val="24"/>
          <w:u w:val="single"/>
        </w:rPr>
        <w:t xml:space="preserve">                            </w:t>
      </w:r>
    </w:p>
    <w:p w14:paraId="1D2F6A2F">
      <w:pPr>
        <w:pStyle w:val="167"/>
        <w:ind w:firstLine="420"/>
        <w:rPr>
          <w:rFonts w:hint="eastAsia" w:ascii="宋体" w:hAnsi="宋体" w:eastAsia="宋体" w:cs="宋体"/>
          <w:sz w:val="24"/>
          <w:szCs w:val="24"/>
        </w:rPr>
      </w:pPr>
      <w:r>
        <w:rPr>
          <w:rFonts w:hint="eastAsia" w:ascii="宋体" w:hAnsi="宋体" w:eastAsia="宋体" w:cs="宋体"/>
          <w:sz w:val="24"/>
          <w:szCs w:val="24"/>
        </w:rPr>
        <w:t xml:space="preserve">    收取履约保证金金额：</w:t>
      </w:r>
      <w:r>
        <w:rPr>
          <w:rFonts w:hint="eastAsia" w:ascii="宋体" w:hAnsi="宋体" w:eastAsia="宋体" w:cs="宋体"/>
          <w:bCs/>
          <w:sz w:val="24"/>
          <w:szCs w:val="24"/>
          <w:u w:val="single"/>
        </w:rPr>
        <w:t xml:space="preserve">                            </w:t>
      </w:r>
    </w:p>
    <w:p w14:paraId="59E584ED">
      <w:pPr>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bCs/>
          <w:sz w:val="24"/>
          <w:szCs w:val="24"/>
        </w:rPr>
        <w:t xml:space="preserve">    履约担保期限：</w:t>
      </w:r>
      <w:r>
        <w:rPr>
          <w:rFonts w:hint="eastAsia" w:ascii="宋体" w:hAnsi="宋体" w:eastAsia="宋体" w:cs="宋体"/>
          <w:bCs/>
          <w:sz w:val="24"/>
          <w:szCs w:val="24"/>
          <w:u w:val="single"/>
        </w:rPr>
        <w:t xml:space="preserve">                                  </w:t>
      </w:r>
    </w:p>
    <w:p w14:paraId="59E9CFD6">
      <w:pPr>
        <w:adjustRightInd w:val="0"/>
        <w:snapToGrid w:val="0"/>
        <w:spacing w:line="40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（4）分期履行要求：</w:t>
      </w:r>
      <w:r>
        <w:rPr>
          <w:rFonts w:hint="eastAsia" w:ascii="宋体" w:hAnsi="宋体" w:eastAsia="宋体" w:cs="宋体"/>
          <w:bCs/>
          <w:sz w:val="24"/>
          <w:szCs w:val="24"/>
          <w:u w:val="single"/>
        </w:rPr>
        <w:t xml:space="preserve">                                                        </w:t>
      </w:r>
    </w:p>
    <w:p w14:paraId="7BF734E1">
      <w:pPr>
        <w:adjustRightInd w:val="0"/>
        <w:snapToGrid w:val="0"/>
        <w:spacing w:line="400" w:lineRule="exact"/>
        <w:ind w:firstLine="480" w:firstLineChars="200"/>
        <w:rPr>
          <w:rFonts w:hint="eastAsia" w:ascii="宋体" w:hAnsi="宋体" w:eastAsia="宋体" w:cs="宋体"/>
          <w:sz w:val="24"/>
          <w:szCs w:val="24"/>
          <w:u w:val="single"/>
        </w:rPr>
      </w:pPr>
      <w:r>
        <w:rPr>
          <w:rFonts w:hint="eastAsia" w:ascii="宋体" w:hAnsi="宋体" w:eastAsia="宋体" w:cs="宋体"/>
          <w:bCs/>
          <w:sz w:val="24"/>
          <w:szCs w:val="24"/>
        </w:rPr>
        <w:t>（5）风险处置措施和替代方案：</w:t>
      </w:r>
      <w:r>
        <w:rPr>
          <w:rFonts w:hint="eastAsia" w:ascii="宋体" w:hAnsi="宋体" w:eastAsia="宋体" w:cs="宋体"/>
          <w:color w:val="0000FF"/>
          <w:sz w:val="24"/>
          <w:szCs w:val="24"/>
          <w:u w:val="single"/>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sz w:val="24"/>
          <w:szCs w:val="24"/>
          <w:u w:val="single"/>
        </w:rPr>
        <w:t xml:space="preserve">                                                </w:t>
      </w:r>
    </w:p>
    <w:p w14:paraId="51430987">
      <w:pPr>
        <w:numPr>
          <w:ilvl w:val="0"/>
          <w:numId w:val="4"/>
        </w:numPr>
        <w:adjustRightInd w:val="0"/>
        <w:snapToGrid w:val="0"/>
        <w:spacing w:line="400" w:lineRule="exact"/>
        <w:ind w:firstLine="480" w:firstLineChars="200"/>
        <w:rPr>
          <w:rFonts w:hint="eastAsia" w:ascii="宋体" w:hAnsi="宋体" w:eastAsia="宋体" w:cs="宋体"/>
          <w:b/>
          <w:sz w:val="24"/>
          <w:szCs w:val="24"/>
        </w:rPr>
      </w:pPr>
      <w:r>
        <w:rPr>
          <w:rFonts w:hint="eastAsia" w:ascii="宋体" w:hAnsi="宋体" w:eastAsia="宋体" w:cs="宋体"/>
          <w:b/>
          <w:sz w:val="24"/>
          <w:szCs w:val="24"/>
        </w:rPr>
        <w:t>合同验收</w:t>
      </w:r>
    </w:p>
    <w:p w14:paraId="5DC89256">
      <w:pPr>
        <w:numPr>
          <w:ilvl w:val="0"/>
          <w:numId w:val="6"/>
        </w:numPr>
        <w:adjustRightInd w:val="0"/>
        <w:snapToGrid w:val="0"/>
        <w:spacing w:line="40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验收组织方式：</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自行组织 </w:t>
      </w:r>
      <w:r>
        <w:rPr>
          <w:rFonts w:hint="eastAsia" w:ascii="宋体" w:hAnsi="宋体" w:eastAsia="宋体" w:cs="宋体"/>
          <w:sz w:val="24"/>
          <w:szCs w:val="24"/>
        </w:rPr>
        <w:sym w:font="Wingdings" w:char="00A8"/>
      </w:r>
      <w:r>
        <w:rPr>
          <w:rFonts w:hint="eastAsia" w:ascii="宋体" w:hAnsi="宋体" w:eastAsia="宋体" w:cs="宋体"/>
          <w:bCs/>
          <w:sz w:val="24"/>
          <w:szCs w:val="24"/>
        </w:rPr>
        <w:t>委托第三方组织</w:t>
      </w:r>
    </w:p>
    <w:p w14:paraId="0EBEA330">
      <w:pPr>
        <w:adjustRightInd w:val="0"/>
        <w:snapToGrid w:val="0"/>
        <w:spacing w:line="400" w:lineRule="exact"/>
        <w:rPr>
          <w:rFonts w:hint="eastAsia" w:ascii="宋体" w:hAnsi="宋体" w:eastAsia="宋体" w:cs="宋体"/>
          <w:bCs/>
          <w:sz w:val="24"/>
          <w:szCs w:val="24"/>
        </w:rPr>
      </w:pPr>
      <w:r>
        <w:rPr>
          <w:rFonts w:hint="eastAsia" w:ascii="宋体" w:hAnsi="宋体" w:eastAsia="宋体" w:cs="宋体"/>
          <w:bCs/>
          <w:sz w:val="24"/>
          <w:szCs w:val="24"/>
        </w:rPr>
        <w:t xml:space="preserve">         验收主体：</w:t>
      </w:r>
      <w:r>
        <w:rPr>
          <w:rFonts w:hint="eastAsia" w:ascii="宋体" w:hAnsi="宋体" w:eastAsia="宋体" w:cs="宋体"/>
          <w:bCs/>
          <w:sz w:val="24"/>
          <w:szCs w:val="24"/>
          <w:u w:val="single"/>
        </w:rPr>
        <w:t xml:space="preserve">                  </w:t>
      </w:r>
    </w:p>
    <w:p w14:paraId="2C6021B5">
      <w:pPr>
        <w:adjustRightInd w:val="0"/>
        <w:snapToGrid w:val="0"/>
        <w:spacing w:line="400" w:lineRule="exact"/>
        <w:rPr>
          <w:rFonts w:hint="eastAsia" w:ascii="宋体" w:hAnsi="宋体" w:eastAsia="宋体" w:cs="宋体"/>
          <w:bCs/>
          <w:sz w:val="24"/>
          <w:szCs w:val="24"/>
        </w:rPr>
      </w:pPr>
      <w:r>
        <w:rPr>
          <w:rFonts w:hint="eastAsia" w:ascii="宋体" w:hAnsi="宋体" w:eastAsia="宋体" w:cs="宋体"/>
          <w:bCs/>
          <w:sz w:val="24"/>
          <w:szCs w:val="24"/>
        </w:rPr>
        <w:t xml:space="preserve">        是否邀请本项目的其他供应商参加验收：</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341E3521">
      <w:pPr>
        <w:adjustRightInd w:val="0"/>
        <w:snapToGrid w:val="0"/>
        <w:spacing w:line="400" w:lineRule="exact"/>
        <w:ind w:firstLine="960" w:firstLineChars="400"/>
        <w:rPr>
          <w:rFonts w:hint="eastAsia" w:ascii="宋体" w:hAnsi="宋体" w:eastAsia="宋体" w:cs="宋体"/>
          <w:bCs/>
          <w:sz w:val="24"/>
          <w:szCs w:val="24"/>
        </w:rPr>
      </w:pPr>
      <w:r>
        <w:rPr>
          <w:rFonts w:hint="eastAsia" w:ascii="宋体" w:hAnsi="宋体" w:eastAsia="宋体" w:cs="宋体"/>
          <w:bCs/>
          <w:sz w:val="24"/>
          <w:szCs w:val="24"/>
        </w:rPr>
        <w:t>是否邀请专家参加验收：</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62FCF456">
      <w:pPr>
        <w:adjustRightInd w:val="0"/>
        <w:snapToGrid w:val="0"/>
        <w:spacing w:line="400" w:lineRule="exact"/>
        <w:ind w:firstLine="960" w:firstLineChars="400"/>
        <w:rPr>
          <w:rFonts w:hint="eastAsia" w:ascii="宋体" w:hAnsi="宋体" w:eastAsia="宋体" w:cs="宋体"/>
          <w:bCs/>
          <w:sz w:val="24"/>
          <w:szCs w:val="24"/>
        </w:rPr>
      </w:pPr>
      <w:r>
        <w:rPr>
          <w:rFonts w:hint="eastAsia" w:ascii="宋体" w:hAnsi="宋体" w:eastAsia="宋体" w:cs="宋体"/>
          <w:bCs/>
          <w:sz w:val="24"/>
          <w:szCs w:val="24"/>
        </w:rPr>
        <w:t>是否邀请服务对象参加验收：</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7EFF878A">
      <w:pPr>
        <w:adjustRightInd w:val="0"/>
        <w:snapToGrid w:val="0"/>
        <w:spacing w:line="400" w:lineRule="exact"/>
        <w:ind w:firstLine="960" w:firstLineChars="400"/>
        <w:rPr>
          <w:rFonts w:hint="eastAsia" w:ascii="宋体" w:hAnsi="宋体" w:eastAsia="宋体" w:cs="宋体"/>
          <w:bCs/>
          <w:sz w:val="24"/>
          <w:szCs w:val="24"/>
        </w:rPr>
      </w:pPr>
      <w:r>
        <w:rPr>
          <w:rFonts w:hint="eastAsia" w:ascii="宋体" w:hAnsi="宋体" w:eastAsia="宋体" w:cs="宋体"/>
          <w:bCs/>
          <w:sz w:val="24"/>
          <w:szCs w:val="24"/>
        </w:rPr>
        <w:t>是否邀请第三方检测机构参加验收：</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0595ABE7">
      <w:pPr>
        <w:adjustRightInd w:val="0"/>
        <w:snapToGrid w:val="0"/>
        <w:spacing w:line="400" w:lineRule="exact"/>
        <w:ind w:firstLine="960" w:firstLineChars="400"/>
        <w:rPr>
          <w:rFonts w:hint="eastAsia" w:ascii="宋体" w:hAnsi="宋体" w:eastAsia="宋体" w:cs="宋体"/>
          <w:bCs/>
          <w:sz w:val="24"/>
          <w:szCs w:val="24"/>
        </w:rPr>
      </w:pPr>
      <w:r>
        <w:rPr>
          <w:rFonts w:hint="eastAsia" w:ascii="宋体" w:hAnsi="宋体" w:eastAsia="宋体" w:cs="宋体"/>
          <w:bCs/>
          <w:sz w:val="24"/>
          <w:szCs w:val="24"/>
        </w:rPr>
        <w:t>是否进行抽查检测：</w:t>
      </w:r>
      <w:r>
        <w:rPr>
          <w:rFonts w:hint="eastAsia" w:ascii="宋体" w:hAnsi="宋体" w:eastAsia="宋体" w:cs="宋体"/>
          <w:sz w:val="24"/>
          <w:szCs w:val="24"/>
        </w:rPr>
        <w:sym w:font="Wingdings" w:char="00A8"/>
      </w:r>
      <w:r>
        <w:rPr>
          <w:rFonts w:hint="eastAsia" w:ascii="宋体" w:hAnsi="宋体" w:eastAsia="宋体" w:cs="宋体"/>
          <w:bCs/>
          <w:sz w:val="24"/>
          <w:szCs w:val="24"/>
        </w:rPr>
        <w:t>是，抽查比例：</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43336B60">
      <w:pPr>
        <w:adjustRightInd w:val="0"/>
        <w:snapToGrid w:val="0"/>
        <w:spacing w:line="400" w:lineRule="exact"/>
        <w:ind w:firstLine="960" w:firstLineChars="400"/>
        <w:rPr>
          <w:rFonts w:hint="eastAsia" w:ascii="宋体" w:hAnsi="宋体" w:eastAsia="宋体" w:cs="宋体"/>
          <w:bCs/>
          <w:sz w:val="24"/>
          <w:szCs w:val="24"/>
          <w:u w:val="single"/>
        </w:rPr>
      </w:pPr>
      <w:r>
        <w:rPr>
          <w:rFonts w:hint="eastAsia" w:ascii="宋体" w:hAnsi="宋体" w:eastAsia="宋体" w:cs="宋体"/>
          <w:bCs/>
          <w:sz w:val="24"/>
          <w:szCs w:val="24"/>
        </w:rPr>
        <w:t>是否存在破坏性检测：</w:t>
      </w:r>
      <w:r>
        <w:rPr>
          <w:rFonts w:hint="eastAsia" w:ascii="宋体" w:hAnsi="宋体" w:eastAsia="宋体" w:cs="宋体"/>
          <w:sz w:val="24"/>
          <w:szCs w:val="24"/>
        </w:rPr>
        <w:sym w:font="Wingdings" w:char="00A8"/>
      </w:r>
      <w:r>
        <w:rPr>
          <w:rFonts w:hint="eastAsia" w:ascii="宋体" w:hAnsi="宋体" w:eastAsia="宋体" w:cs="宋体"/>
          <w:bCs/>
          <w:sz w:val="24"/>
          <w:szCs w:val="24"/>
        </w:rPr>
        <w:t>是，</w:t>
      </w:r>
      <w:r>
        <w:rPr>
          <w:rFonts w:hint="eastAsia" w:ascii="宋体" w:hAnsi="宋体" w:eastAsia="宋体" w:cs="宋体"/>
          <w:bCs/>
          <w:sz w:val="24"/>
          <w:szCs w:val="24"/>
          <w:u w:val="single"/>
        </w:rPr>
        <w:t>（应明确对被破坏的检测产品的处理方式）</w:t>
      </w:r>
    </w:p>
    <w:p w14:paraId="43663EC6">
      <w:pPr>
        <w:adjustRightInd w:val="0"/>
        <w:snapToGrid w:val="0"/>
        <w:spacing w:line="400" w:lineRule="exact"/>
        <w:ind w:firstLine="960" w:firstLineChars="400"/>
        <w:rPr>
          <w:rFonts w:hint="eastAsia" w:ascii="宋体" w:hAnsi="宋体" w:eastAsia="宋体" w:cs="宋体"/>
          <w:bCs/>
          <w:sz w:val="24"/>
          <w:szCs w:val="24"/>
        </w:rPr>
      </w:pPr>
      <w:r>
        <w:rPr>
          <w:rFonts w:hint="eastAsia" w:ascii="宋体" w:hAnsi="宋体" w:eastAsia="宋体" w:cs="宋体"/>
          <w:bCs/>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05DCEEAF">
      <w:pPr>
        <w:adjustRightInd w:val="0"/>
        <w:snapToGrid w:val="0"/>
        <w:spacing w:line="400" w:lineRule="exact"/>
        <w:ind w:firstLine="960" w:firstLineChars="400"/>
        <w:rPr>
          <w:rFonts w:hint="eastAsia" w:ascii="宋体" w:hAnsi="宋体" w:eastAsia="宋体" w:cs="宋体"/>
          <w:bCs/>
          <w:sz w:val="24"/>
          <w:szCs w:val="24"/>
          <w:u w:val="single"/>
        </w:rPr>
      </w:pPr>
      <w:r>
        <w:rPr>
          <w:rFonts w:hint="eastAsia" w:ascii="宋体" w:hAnsi="宋体" w:eastAsia="宋体" w:cs="宋体"/>
          <w:bCs/>
          <w:sz w:val="24"/>
          <w:szCs w:val="24"/>
        </w:rPr>
        <w:t>验收组织的其他事项：</w:t>
      </w:r>
      <w:r>
        <w:rPr>
          <w:rFonts w:hint="eastAsia" w:ascii="宋体" w:hAnsi="宋体" w:eastAsia="宋体" w:cs="宋体"/>
          <w:bCs/>
          <w:sz w:val="24"/>
          <w:szCs w:val="24"/>
          <w:u w:val="single"/>
        </w:rPr>
        <w:t xml:space="preserve">                </w:t>
      </w:r>
    </w:p>
    <w:p w14:paraId="0CA76D0F">
      <w:pPr>
        <w:adjustRightInd w:val="0"/>
        <w:snapToGrid w:val="0"/>
        <w:spacing w:line="400" w:lineRule="exact"/>
        <w:ind w:firstLine="480" w:firstLineChars="200"/>
        <w:rPr>
          <w:rFonts w:hint="eastAsia" w:ascii="宋体" w:hAnsi="宋体" w:eastAsia="宋体" w:cs="宋体"/>
          <w:bCs/>
          <w:sz w:val="24"/>
          <w:szCs w:val="24"/>
          <w:u w:val="single"/>
        </w:rPr>
      </w:pPr>
      <w:r>
        <w:rPr>
          <w:rFonts w:hint="eastAsia" w:ascii="宋体" w:hAnsi="宋体" w:eastAsia="宋体" w:cs="宋体"/>
          <w:bCs/>
          <w:sz w:val="24"/>
          <w:szCs w:val="24"/>
        </w:rPr>
        <w:t>（2）履约验收时间：</w:t>
      </w:r>
      <w:r>
        <w:rPr>
          <w:rFonts w:hint="eastAsia" w:ascii="宋体" w:hAnsi="宋体" w:eastAsia="宋体" w:cs="宋体"/>
          <w:bCs/>
          <w:sz w:val="24"/>
          <w:szCs w:val="24"/>
          <w:u w:val="single"/>
        </w:rPr>
        <w:t xml:space="preserve">（计划于何时验收/供应商提出验收申请之日起   日内组织验收） </w:t>
      </w:r>
    </w:p>
    <w:p w14:paraId="6B70A19F">
      <w:pPr>
        <w:adjustRightInd w:val="0"/>
        <w:snapToGrid w:val="0"/>
        <w:spacing w:line="40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（3）履约验收方式：</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一次性验收         </w:t>
      </w:r>
    </w:p>
    <w:p w14:paraId="23E175FB">
      <w:pPr>
        <w:adjustRightInd w:val="0"/>
        <w:snapToGrid w:val="0"/>
        <w:spacing w:line="400" w:lineRule="exact"/>
        <w:rPr>
          <w:rFonts w:hint="eastAsia" w:ascii="宋体" w:hAnsi="宋体" w:eastAsia="宋体" w:cs="宋体"/>
          <w:bCs/>
          <w:sz w:val="24"/>
          <w:szCs w:val="24"/>
        </w:rPr>
      </w:pPr>
      <w:r>
        <w:rPr>
          <w:rFonts w:hint="eastAsia" w:ascii="宋体" w:hAnsi="宋体" w:eastAsia="宋体" w:cs="宋体"/>
          <w:bCs/>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bCs/>
          <w:sz w:val="24"/>
          <w:szCs w:val="24"/>
        </w:rPr>
        <w:t>分期/分项验收：</w:t>
      </w:r>
      <w:r>
        <w:rPr>
          <w:rFonts w:hint="eastAsia" w:ascii="宋体" w:hAnsi="宋体" w:eastAsia="宋体" w:cs="宋体"/>
          <w:bCs/>
          <w:sz w:val="24"/>
          <w:szCs w:val="24"/>
          <w:u w:val="single"/>
        </w:rPr>
        <w:t xml:space="preserve"> （应明确分期</w:t>
      </w:r>
      <w:r>
        <w:rPr>
          <w:rFonts w:hint="eastAsia" w:ascii="宋体" w:hAnsi="宋体" w:eastAsia="宋体" w:cs="宋体"/>
          <w:bCs/>
          <w:sz w:val="24"/>
          <w:szCs w:val="24"/>
          <w:u w:val="single"/>
          <w:lang w:val="en"/>
        </w:rPr>
        <w:t>/分项验收的工作安排</w:t>
      </w:r>
      <w:r>
        <w:rPr>
          <w:rFonts w:hint="eastAsia" w:ascii="宋体" w:hAnsi="宋体" w:eastAsia="宋体" w:cs="宋体"/>
          <w:bCs/>
          <w:sz w:val="24"/>
          <w:szCs w:val="24"/>
          <w:u w:val="single"/>
        </w:rPr>
        <w:t xml:space="preserve">）  </w:t>
      </w:r>
    </w:p>
    <w:p w14:paraId="0CD94041">
      <w:pPr>
        <w:adjustRightInd w:val="0"/>
        <w:snapToGrid w:val="0"/>
        <w:spacing w:line="400" w:lineRule="exact"/>
        <w:ind w:firstLine="480" w:firstLineChars="200"/>
        <w:rPr>
          <w:rFonts w:hint="eastAsia" w:ascii="宋体" w:hAnsi="宋体" w:eastAsia="宋体" w:cs="宋体"/>
          <w:bCs/>
          <w:sz w:val="24"/>
          <w:szCs w:val="24"/>
        </w:rPr>
      </w:pPr>
      <w:r>
        <w:rPr>
          <w:rFonts w:hint="eastAsia" w:ascii="宋体" w:hAnsi="宋体" w:eastAsia="宋体" w:cs="宋体"/>
          <w:bCs/>
          <w:sz w:val="24"/>
          <w:szCs w:val="24"/>
        </w:rPr>
        <w:t>（4）履约验收程序：</w:t>
      </w:r>
      <w:r>
        <w:rPr>
          <w:rFonts w:hint="eastAsia" w:ascii="宋体" w:hAnsi="宋体" w:eastAsia="宋体" w:cs="宋体"/>
          <w:bCs/>
          <w:sz w:val="24"/>
          <w:szCs w:val="24"/>
          <w:u w:val="single"/>
        </w:rPr>
        <w:t xml:space="preserve">                                         </w:t>
      </w:r>
    </w:p>
    <w:p w14:paraId="5896B46E">
      <w:pPr>
        <w:adjustRightInd w:val="0"/>
        <w:snapToGrid w:val="0"/>
        <w:spacing w:line="400" w:lineRule="exact"/>
        <w:ind w:firstLine="480" w:firstLineChars="200"/>
        <w:rPr>
          <w:rFonts w:hint="eastAsia" w:ascii="宋体" w:hAnsi="宋体" w:eastAsia="宋体" w:cs="宋体"/>
          <w:bCs/>
          <w:sz w:val="24"/>
          <w:szCs w:val="24"/>
          <w:u w:val="single"/>
        </w:rPr>
      </w:pPr>
      <w:r>
        <w:rPr>
          <w:rFonts w:hint="eastAsia" w:ascii="宋体" w:hAnsi="宋体" w:eastAsia="宋体" w:cs="宋体"/>
          <w:bCs/>
          <w:sz w:val="24"/>
          <w:szCs w:val="24"/>
        </w:rPr>
        <w:t>（5）履约验收的内容：</w:t>
      </w:r>
      <w:r>
        <w:rPr>
          <w:rFonts w:hint="eastAsia" w:ascii="宋体" w:hAnsi="宋体" w:eastAsia="宋体" w:cs="宋体"/>
          <w:bCs/>
          <w:sz w:val="24"/>
          <w:szCs w:val="24"/>
          <w:u w:val="single"/>
        </w:rPr>
        <w:t xml:space="preserve"> （应当包括每一项技术和商务要求的履约情况，特别是落实政府采购扶持中小企业，支持绿色发展和乡村振兴等政策情况）                                      </w:t>
      </w:r>
    </w:p>
    <w:p w14:paraId="6F163630">
      <w:pPr>
        <w:adjustRightInd w:val="0"/>
        <w:snapToGrid w:val="0"/>
        <w:spacing w:line="400" w:lineRule="exact"/>
        <w:ind w:firstLine="480" w:firstLineChars="200"/>
        <w:rPr>
          <w:rFonts w:hint="eastAsia" w:ascii="宋体" w:hAnsi="宋体" w:eastAsia="宋体" w:cs="宋体"/>
          <w:bCs/>
          <w:sz w:val="24"/>
          <w:szCs w:val="24"/>
          <w:u w:val="single"/>
        </w:rPr>
      </w:pPr>
      <w:r>
        <w:rPr>
          <w:rFonts w:hint="eastAsia" w:ascii="宋体" w:hAnsi="宋体" w:eastAsia="宋体" w:cs="宋体"/>
          <w:bCs/>
          <w:sz w:val="24"/>
          <w:szCs w:val="24"/>
        </w:rPr>
        <w:t>（6）履约验收标准：</w:t>
      </w:r>
      <w:r>
        <w:rPr>
          <w:rFonts w:hint="eastAsia" w:ascii="宋体" w:hAnsi="宋体" w:eastAsia="宋体" w:cs="宋体"/>
          <w:bCs/>
          <w:sz w:val="24"/>
          <w:szCs w:val="24"/>
          <w:u w:val="single"/>
        </w:rPr>
        <w:t xml:space="preserve">                                         </w:t>
      </w:r>
    </w:p>
    <w:p w14:paraId="579AEB89">
      <w:pPr>
        <w:pStyle w:val="167"/>
        <w:ind w:firstLine="420"/>
        <w:rPr>
          <w:rFonts w:hint="eastAsia" w:ascii="宋体" w:hAnsi="宋体" w:eastAsia="宋体" w:cs="宋体"/>
          <w:sz w:val="24"/>
          <w:szCs w:val="24"/>
        </w:rPr>
      </w:pPr>
      <w:r>
        <w:rPr>
          <w:rFonts w:hint="eastAsia" w:ascii="宋体" w:hAnsi="宋体" w:eastAsia="宋体" w:cs="宋体"/>
          <w:bCs/>
          <w:sz w:val="24"/>
          <w:szCs w:val="24"/>
        </w:rPr>
        <w:t>（7）是否以采购活动中供应商提供的样品作为参考：</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1CF2034F">
      <w:pPr>
        <w:adjustRightInd w:val="0"/>
        <w:snapToGrid w:val="0"/>
        <w:spacing w:line="400" w:lineRule="exact"/>
        <w:ind w:firstLine="480" w:firstLineChars="200"/>
        <w:rPr>
          <w:rFonts w:hint="eastAsia" w:ascii="宋体" w:hAnsi="宋体" w:eastAsia="宋体" w:cs="宋体"/>
          <w:bCs/>
          <w:sz w:val="24"/>
          <w:szCs w:val="24"/>
          <w:u w:val="single"/>
        </w:rPr>
      </w:pPr>
      <w:r>
        <w:rPr>
          <w:rFonts w:hint="eastAsia" w:ascii="宋体" w:hAnsi="宋体" w:eastAsia="宋体" w:cs="宋体"/>
          <w:bCs/>
          <w:sz w:val="24"/>
          <w:szCs w:val="24"/>
        </w:rPr>
        <w:t>（8）履约验收其他事项：</w:t>
      </w:r>
      <w:r>
        <w:rPr>
          <w:rFonts w:hint="eastAsia" w:ascii="宋体" w:hAnsi="宋体" w:eastAsia="宋体" w:cs="宋体"/>
          <w:bCs/>
          <w:sz w:val="24"/>
          <w:szCs w:val="24"/>
          <w:u w:val="single"/>
        </w:rPr>
        <w:t xml:space="preserve">      （产权过户登记等）          </w:t>
      </w:r>
    </w:p>
    <w:p w14:paraId="198757C4">
      <w:pPr>
        <w:numPr>
          <w:ilvl w:val="0"/>
          <w:numId w:val="4"/>
        </w:numPr>
        <w:adjustRightInd w:val="0"/>
        <w:snapToGrid w:val="0"/>
        <w:spacing w:line="400" w:lineRule="exact"/>
        <w:ind w:firstLine="480" w:firstLineChars="200"/>
        <w:rPr>
          <w:rFonts w:hint="eastAsia" w:ascii="宋体" w:hAnsi="宋体" w:eastAsia="宋体" w:cs="宋体"/>
          <w:b/>
          <w:sz w:val="24"/>
          <w:szCs w:val="24"/>
        </w:rPr>
      </w:pPr>
      <w:r>
        <w:rPr>
          <w:rFonts w:hint="eastAsia" w:ascii="宋体" w:hAnsi="宋体" w:eastAsia="宋体" w:cs="宋体"/>
          <w:b/>
          <w:sz w:val="24"/>
          <w:szCs w:val="24"/>
        </w:rPr>
        <w:t>组成合同的文件</w:t>
      </w:r>
    </w:p>
    <w:p w14:paraId="2EFD8978">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本协议书与下列文件一起构成合同文件，如下述文件之间有任何抵触、矛盾或歧义，应按以下顺序解释：</w:t>
      </w:r>
    </w:p>
    <w:p w14:paraId="6BC8C01B">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（1）政府采购合同协议书及其变更、补充协议</w:t>
      </w:r>
    </w:p>
    <w:p w14:paraId="6D11CE22">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（2）政府采购合同专用条款</w:t>
      </w:r>
    </w:p>
    <w:p w14:paraId="3B3C6CD6">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（3）政府采购合同通用条款</w:t>
      </w:r>
    </w:p>
    <w:p w14:paraId="154F3BAC">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（4）中标（成交）通知书</w:t>
      </w:r>
    </w:p>
    <w:p w14:paraId="3E48E0AC">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（5）投标（响应）文件</w:t>
      </w:r>
    </w:p>
    <w:p w14:paraId="36C92703">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（6）采购文件</w:t>
      </w:r>
    </w:p>
    <w:p w14:paraId="2179092A">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（7）有关技术文件，图纸</w:t>
      </w:r>
    </w:p>
    <w:p w14:paraId="129CB4A7">
      <w:pPr>
        <w:pStyle w:val="167"/>
        <w:ind w:firstLine="420"/>
        <w:rPr>
          <w:rFonts w:hint="eastAsia" w:ascii="宋体" w:hAnsi="宋体" w:eastAsia="宋体" w:cs="宋体"/>
          <w:kern w:val="2"/>
          <w:sz w:val="24"/>
          <w:szCs w:val="24"/>
        </w:rPr>
      </w:pPr>
      <w:r>
        <w:rPr>
          <w:rFonts w:hint="eastAsia" w:ascii="宋体" w:hAnsi="宋体" w:eastAsia="宋体" w:cs="宋体"/>
          <w:sz w:val="24"/>
          <w:szCs w:val="24"/>
        </w:rPr>
        <w:t>（8）</w:t>
      </w:r>
      <w:r>
        <w:rPr>
          <w:rFonts w:hint="eastAsia" w:ascii="宋体" w:hAnsi="宋体" w:eastAsia="宋体" w:cs="宋体"/>
          <w:color w:val="000000"/>
          <w:kern w:val="2"/>
          <w:sz w:val="24"/>
          <w:szCs w:val="24"/>
        </w:rPr>
        <w:t>国家法律、行政法规和规章制度规定或合同约定的作为合同组成部分的其他文件</w:t>
      </w:r>
    </w:p>
    <w:p w14:paraId="4E2779D5">
      <w:pPr>
        <w:numPr>
          <w:ilvl w:val="0"/>
          <w:numId w:val="4"/>
        </w:numPr>
        <w:adjustRightInd w:val="0"/>
        <w:snapToGrid w:val="0"/>
        <w:spacing w:line="400" w:lineRule="exact"/>
        <w:ind w:firstLine="480" w:firstLineChars="200"/>
        <w:rPr>
          <w:rFonts w:hint="eastAsia" w:ascii="宋体" w:hAnsi="宋体" w:eastAsia="宋体" w:cs="宋体"/>
          <w:b/>
          <w:sz w:val="24"/>
          <w:szCs w:val="24"/>
        </w:rPr>
      </w:pPr>
      <w:r>
        <w:rPr>
          <w:rFonts w:hint="eastAsia" w:ascii="宋体" w:hAnsi="宋体" w:eastAsia="宋体" w:cs="宋体"/>
          <w:b/>
          <w:sz w:val="24"/>
          <w:szCs w:val="24"/>
        </w:rPr>
        <w:t>合同生效</w:t>
      </w:r>
    </w:p>
    <w:p w14:paraId="4C264732">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本合同自</w:t>
      </w:r>
      <w:r>
        <w:rPr>
          <w:rFonts w:hint="eastAsia" w:ascii="宋体" w:hAnsi="宋体" w:eastAsia="宋体" w:cs="宋体"/>
          <w:sz w:val="24"/>
          <w:szCs w:val="24"/>
          <w:u w:val="single"/>
        </w:rPr>
        <w:t xml:space="preserve">                             </w:t>
      </w:r>
      <w:r>
        <w:rPr>
          <w:rFonts w:hint="eastAsia" w:ascii="宋体" w:hAnsi="宋体" w:eastAsia="宋体" w:cs="宋体"/>
          <w:sz w:val="24"/>
          <w:szCs w:val="24"/>
        </w:rPr>
        <w:t>生效。</w:t>
      </w:r>
    </w:p>
    <w:p w14:paraId="24C84A90">
      <w:pPr>
        <w:numPr>
          <w:ilvl w:val="0"/>
          <w:numId w:val="4"/>
        </w:numPr>
        <w:adjustRightInd w:val="0"/>
        <w:snapToGrid w:val="0"/>
        <w:spacing w:line="400" w:lineRule="exact"/>
        <w:ind w:firstLine="480" w:firstLineChars="200"/>
        <w:rPr>
          <w:rFonts w:hint="eastAsia" w:ascii="宋体" w:hAnsi="宋体" w:eastAsia="宋体" w:cs="宋体"/>
          <w:b/>
          <w:sz w:val="24"/>
          <w:szCs w:val="24"/>
        </w:rPr>
      </w:pPr>
      <w:r>
        <w:rPr>
          <w:rFonts w:hint="eastAsia" w:ascii="宋体" w:hAnsi="宋体" w:eastAsia="宋体" w:cs="宋体"/>
          <w:b/>
          <w:sz w:val="24"/>
          <w:szCs w:val="24"/>
        </w:rPr>
        <w:t>合同份数</w:t>
      </w:r>
    </w:p>
    <w:p w14:paraId="2F343F16">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本合同一式</w:t>
      </w:r>
      <w:r>
        <w:rPr>
          <w:rFonts w:hint="eastAsia" w:ascii="宋体" w:hAnsi="宋体" w:eastAsia="宋体" w:cs="宋体"/>
          <w:sz w:val="24"/>
          <w:szCs w:val="24"/>
          <w:u w:val="single"/>
        </w:rPr>
        <w:t xml:space="preserve">    </w:t>
      </w:r>
      <w:r>
        <w:rPr>
          <w:rFonts w:hint="eastAsia" w:ascii="宋体" w:hAnsi="宋体" w:eastAsia="宋体" w:cs="宋体"/>
          <w:sz w:val="24"/>
          <w:szCs w:val="24"/>
        </w:rPr>
        <w:t>份，甲方执</w:t>
      </w:r>
      <w:r>
        <w:rPr>
          <w:rFonts w:hint="eastAsia" w:ascii="宋体" w:hAnsi="宋体" w:eastAsia="宋体" w:cs="宋体"/>
          <w:sz w:val="24"/>
          <w:szCs w:val="24"/>
          <w:u w:val="single"/>
        </w:rPr>
        <w:t xml:space="preserve">    </w:t>
      </w:r>
      <w:r>
        <w:rPr>
          <w:rFonts w:hint="eastAsia" w:ascii="宋体" w:hAnsi="宋体" w:eastAsia="宋体" w:cs="宋体"/>
          <w:sz w:val="24"/>
          <w:szCs w:val="24"/>
        </w:rPr>
        <w:t>份，乙方执</w:t>
      </w:r>
      <w:r>
        <w:rPr>
          <w:rFonts w:hint="eastAsia" w:ascii="宋体" w:hAnsi="宋体" w:eastAsia="宋体" w:cs="宋体"/>
          <w:sz w:val="24"/>
          <w:szCs w:val="24"/>
          <w:u w:val="single"/>
        </w:rPr>
        <w:t xml:space="preserve">    </w:t>
      </w:r>
      <w:r>
        <w:rPr>
          <w:rFonts w:hint="eastAsia" w:ascii="宋体" w:hAnsi="宋体" w:eastAsia="宋体" w:cs="宋体"/>
          <w:sz w:val="24"/>
          <w:szCs w:val="24"/>
        </w:rPr>
        <w:t>份，均具有同等法律效力。</w:t>
      </w:r>
    </w:p>
    <w:p w14:paraId="6A060EE8">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合同订立时间：</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7438CAA8">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合同订立地点：</w:t>
      </w:r>
      <w:r>
        <w:rPr>
          <w:rFonts w:hint="eastAsia" w:ascii="宋体" w:hAnsi="宋体" w:eastAsia="宋体" w:cs="宋体"/>
          <w:sz w:val="24"/>
          <w:szCs w:val="24"/>
          <w:u w:val="single"/>
        </w:rPr>
        <w:t xml:space="preserve">                           </w:t>
      </w:r>
    </w:p>
    <w:p w14:paraId="7FD18A13">
      <w:pPr>
        <w:adjustRightInd w:val="0"/>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附件：具体标的及其技术要求和商务要求、联合协议、分包意向协议等。</w:t>
      </w:r>
    </w:p>
    <w:p w14:paraId="2B8EE7C4">
      <w:pPr>
        <w:bidi w:val="0"/>
        <w:rPr>
          <w:rFonts w:hint="eastAsia" w:ascii="宋体" w:hAnsi="宋体" w:eastAsia="宋体" w:cs="宋体"/>
          <w:sz w:val="24"/>
          <w:szCs w:val="24"/>
        </w:rPr>
      </w:pPr>
      <w:r>
        <w:rPr>
          <w:rFonts w:hint="eastAsia" w:ascii="宋体" w:hAnsi="宋体" w:eastAsia="宋体" w:cs="宋体"/>
          <w:sz w:val="24"/>
          <w:szCs w:val="24"/>
        </w:rPr>
        <w:br w:type="page"/>
      </w:r>
    </w:p>
    <w:p w14:paraId="26C8E5D4">
      <w:pPr>
        <w:pStyle w:val="101"/>
        <w:ind w:firstLine="480"/>
        <w:rPr>
          <w:rFonts w:hint="eastAsia" w:ascii="宋体" w:hAnsi="宋体" w:eastAsia="宋体" w:cs="宋体"/>
          <w:sz w:val="24"/>
          <w:szCs w:val="24"/>
        </w:rPr>
      </w:pPr>
    </w:p>
    <w:tbl>
      <w:tblPr>
        <w:tblStyle w:val="2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50"/>
        <w:gridCol w:w="2616"/>
        <w:gridCol w:w="2146"/>
        <w:gridCol w:w="2295"/>
      </w:tblGrid>
      <w:tr w14:paraId="4E57EB7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noWrap w:val="0"/>
            <w:vAlign w:val="center"/>
          </w:tcPr>
          <w:p w14:paraId="7E0E7F56">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甲方（采购人、受采购人委托签订合同的单位或采购文件约定的合同甲方）</w:t>
            </w:r>
          </w:p>
        </w:tc>
        <w:tc>
          <w:tcPr>
            <w:tcW w:w="2437" w:type="pct"/>
            <w:gridSpan w:val="2"/>
            <w:tcBorders>
              <w:left w:val="single" w:color="auto" w:sz="2" w:space="0"/>
              <w:bottom w:val="single" w:color="auto" w:sz="2" w:space="0"/>
            </w:tcBorders>
            <w:noWrap w:val="0"/>
            <w:vAlign w:val="center"/>
          </w:tcPr>
          <w:p w14:paraId="08BF8EF1">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乙方（供应商）</w:t>
            </w:r>
          </w:p>
        </w:tc>
      </w:tr>
      <w:tr w14:paraId="51BD81A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0"/>
            <w:vAlign w:val="center"/>
          </w:tcPr>
          <w:p w14:paraId="4C451F6D">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单位名称（公章或合同章）</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990C555">
            <w:pPr>
              <w:adjustRightInd w:val="0"/>
              <w:snapToGrid w:val="0"/>
              <w:spacing w:line="300" w:lineRule="exact"/>
              <w:jc w:val="center"/>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D275050">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单位名称（公章或合同章）</w:t>
            </w:r>
          </w:p>
        </w:tc>
        <w:tc>
          <w:tcPr>
            <w:tcW w:w="1259" w:type="pct"/>
            <w:tcBorders>
              <w:top w:val="single" w:color="auto" w:sz="2" w:space="0"/>
              <w:left w:val="single" w:color="auto" w:sz="2" w:space="0"/>
              <w:bottom w:val="single" w:color="auto" w:sz="2" w:space="0"/>
            </w:tcBorders>
            <w:noWrap w:val="0"/>
            <w:vAlign w:val="center"/>
          </w:tcPr>
          <w:p w14:paraId="1F9DEAE1">
            <w:pPr>
              <w:adjustRightInd w:val="0"/>
              <w:snapToGrid w:val="0"/>
              <w:spacing w:line="300" w:lineRule="exact"/>
              <w:jc w:val="center"/>
              <w:rPr>
                <w:rFonts w:hint="eastAsia" w:ascii="宋体" w:hAnsi="宋体" w:eastAsia="宋体" w:cs="宋体"/>
                <w:spacing w:val="20"/>
                <w:sz w:val="24"/>
                <w:szCs w:val="24"/>
              </w:rPr>
            </w:pPr>
          </w:p>
        </w:tc>
      </w:tr>
      <w:tr w14:paraId="45FBC59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noWrap w:val="0"/>
            <w:vAlign w:val="center"/>
          </w:tcPr>
          <w:p w14:paraId="66800AAB">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法定代表人</w:t>
            </w:r>
          </w:p>
          <w:p w14:paraId="0DFB7A8A">
            <w:pPr>
              <w:adjustRightInd w:val="0"/>
              <w:snapToGrid w:val="0"/>
              <w:spacing w:line="300" w:lineRule="exact"/>
              <w:ind w:firstLine="115" w:firstLineChars="48"/>
              <w:jc w:val="center"/>
              <w:rPr>
                <w:rFonts w:hint="eastAsia" w:ascii="宋体" w:hAnsi="宋体" w:eastAsia="宋体" w:cs="宋体"/>
                <w:sz w:val="24"/>
                <w:szCs w:val="24"/>
              </w:rPr>
            </w:pPr>
            <w:r>
              <w:rPr>
                <w:rFonts w:hint="eastAsia" w:ascii="宋体" w:hAnsi="宋体" w:eastAsia="宋体" w:cs="宋体"/>
                <w:sz w:val="24"/>
                <w:szCs w:val="24"/>
              </w:rPr>
              <w:t>或其委托代理人（签章）</w:t>
            </w:r>
          </w:p>
        </w:tc>
        <w:tc>
          <w:tcPr>
            <w:tcW w:w="1436" w:type="pct"/>
            <w:vMerge w:val="restart"/>
            <w:tcBorders>
              <w:top w:val="single" w:color="auto" w:sz="2" w:space="0"/>
              <w:left w:val="single" w:color="auto" w:sz="2" w:space="0"/>
              <w:right w:val="single" w:color="auto" w:sz="2" w:space="0"/>
            </w:tcBorders>
            <w:noWrap w:val="0"/>
            <w:vAlign w:val="center"/>
          </w:tcPr>
          <w:p w14:paraId="40BF17CE">
            <w:pPr>
              <w:adjustRightInd w:val="0"/>
              <w:snapToGrid w:val="0"/>
              <w:spacing w:line="300" w:lineRule="exact"/>
              <w:jc w:val="center"/>
              <w:rPr>
                <w:rFonts w:hint="eastAsia" w:ascii="宋体" w:hAnsi="宋体" w:eastAsia="宋体" w:cs="宋体"/>
                <w:sz w:val="24"/>
                <w:szCs w:val="24"/>
              </w:rPr>
            </w:pPr>
          </w:p>
        </w:tc>
        <w:tc>
          <w:tcPr>
            <w:tcW w:w="1178" w:type="pct"/>
            <w:tcBorders>
              <w:top w:val="single" w:color="auto" w:sz="2" w:space="0"/>
              <w:left w:val="single" w:color="auto" w:sz="2" w:space="0"/>
              <w:right w:val="single" w:color="auto" w:sz="2" w:space="0"/>
            </w:tcBorders>
            <w:noWrap w:val="0"/>
            <w:vAlign w:val="center"/>
          </w:tcPr>
          <w:p w14:paraId="18F3F122">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法定代表人</w:t>
            </w:r>
          </w:p>
          <w:p w14:paraId="7CE80F3C">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或其委托代理人（签章）</w:t>
            </w:r>
          </w:p>
        </w:tc>
        <w:tc>
          <w:tcPr>
            <w:tcW w:w="1259" w:type="pct"/>
            <w:tcBorders>
              <w:top w:val="single" w:color="auto" w:sz="2" w:space="0"/>
              <w:left w:val="single" w:color="auto" w:sz="2" w:space="0"/>
              <w:bottom w:val="single" w:color="auto" w:sz="2" w:space="0"/>
            </w:tcBorders>
            <w:noWrap w:val="0"/>
            <w:vAlign w:val="center"/>
          </w:tcPr>
          <w:p w14:paraId="2FBD60C1">
            <w:pPr>
              <w:adjustRightInd w:val="0"/>
              <w:snapToGrid w:val="0"/>
              <w:spacing w:line="300" w:lineRule="exact"/>
              <w:jc w:val="center"/>
              <w:rPr>
                <w:rFonts w:hint="eastAsia" w:ascii="宋体" w:hAnsi="宋体" w:eastAsia="宋体" w:cs="宋体"/>
                <w:sz w:val="24"/>
                <w:szCs w:val="24"/>
              </w:rPr>
            </w:pPr>
          </w:p>
        </w:tc>
      </w:tr>
      <w:tr w14:paraId="5748A33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0"/>
            <w:vAlign w:val="center"/>
          </w:tcPr>
          <w:p w14:paraId="3284BCE9">
            <w:pPr>
              <w:adjustRightInd w:val="0"/>
              <w:snapToGrid w:val="0"/>
              <w:spacing w:line="300" w:lineRule="exact"/>
              <w:jc w:val="center"/>
              <w:rPr>
                <w:rFonts w:hint="eastAsia" w:ascii="宋体" w:hAnsi="宋体" w:eastAsia="宋体" w:cs="宋体"/>
                <w:sz w:val="24"/>
                <w:szCs w:val="24"/>
              </w:rPr>
            </w:pPr>
          </w:p>
        </w:tc>
        <w:tc>
          <w:tcPr>
            <w:tcW w:w="1436" w:type="pct"/>
            <w:vMerge w:val="continue"/>
            <w:tcBorders>
              <w:left w:val="single" w:color="auto" w:sz="2" w:space="0"/>
              <w:bottom w:val="single" w:color="auto" w:sz="2" w:space="0"/>
              <w:right w:val="single" w:color="auto" w:sz="2" w:space="0"/>
            </w:tcBorders>
            <w:noWrap w:val="0"/>
            <w:vAlign w:val="center"/>
          </w:tcPr>
          <w:p w14:paraId="189284E7">
            <w:pPr>
              <w:adjustRightInd w:val="0"/>
              <w:snapToGrid w:val="0"/>
              <w:spacing w:line="300" w:lineRule="exact"/>
              <w:jc w:val="center"/>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DD461EA">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拥有者性别</w:t>
            </w:r>
          </w:p>
        </w:tc>
        <w:tc>
          <w:tcPr>
            <w:tcW w:w="1259" w:type="pct"/>
            <w:tcBorders>
              <w:top w:val="single" w:color="auto" w:sz="2" w:space="0"/>
              <w:left w:val="single" w:color="auto" w:sz="2" w:space="0"/>
              <w:bottom w:val="single" w:color="auto" w:sz="2" w:space="0"/>
            </w:tcBorders>
            <w:noWrap w:val="0"/>
            <w:vAlign w:val="center"/>
          </w:tcPr>
          <w:p w14:paraId="6DCB92BD">
            <w:pPr>
              <w:adjustRightInd w:val="0"/>
              <w:snapToGrid w:val="0"/>
              <w:spacing w:line="300" w:lineRule="exact"/>
              <w:jc w:val="center"/>
              <w:rPr>
                <w:rFonts w:hint="eastAsia" w:ascii="宋体" w:hAnsi="宋体" w:eastAsia="宋体" w:cs="宋体"/>
                <w:spacing w:val="20"/>
                <w:sz w:val="24"/>
                <w:szCs w:val="24"/>
              </w:rPr>
            </w:pPr>
          </w:p>
        </w:tc>
      </w:tr>
      <w:tr w14:paraId="0BCF76C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616AD390">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住  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6197EE6">
            <w:pPr>
              <w:adjustRightInd w:val="0"/>
              <w:snapToGrid w:val="0"/>
              <w:spacing w:line="300" w:lineRule="exact"/>
              <w:jc w:val="center"/>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FD7D966">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住  所</w:t>
            </w:r>
          </w:p>
        </w:tc>
        <w:tc>
          <w:tcPr>
            <w:tcW w:w="1259" w:type="pct"/>
            <w:tcBorders>
              <w:top w:val="single" w:color="auto" w:sz="2" w:space="0"/>
              <w:left w:val="single" w:color="auto" w:sz="2" w:space="0"/>
              <w:bottom w:val="single" w:color="auto" w:sz="2" w:space="0"/>
            </w:tcBorders>
            <w:noWrap w:val="0"/>
            <w:vAlign w:val="center"/>
          </w:tcPr>
          <w:p w14:paraId="14E1E6A0">
            <w:pPr>
              <w:adjustRightInd w:val="0"/>
              <w:snapToGrid w:val="0"/>
              <w:spacing w:line="300" w:lineRule="exact"/>
              <w:jc w:val="center"/>
              <w:rPr>
                <w:rFonts w:hint="eastAsia" w:ascii="宋体" w:hAnsi="宋体" w:eastAsia="宋体" w:cs="宋体"/>
                <w:spacing w:val="20"/>
                <w:sz w:val="24"/>
                <w:szCs w:val="24"/>
              </w:rPr>
            </w:pPr>
          </w:p>
        </w:tc>
      </w:tr>
      <w:tr w14:paraId="7B1F4FD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276CDED">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4FCF865">
            <w:pPr>
              <w:adjustRightInd w:val="0"/>
              <w:snapToGrid w:val="0"/>
              <w:spacing w:line="300" w:lineRule="exact"/>
              <w:jc w:val="center"/>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CA4ED1C">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联 系 人</w:t>
            </w:r>
          </w:p>
        </w:tc>
        <w:tc>
          <w:tcPr>
            <w:tcW w:w="1259" w:type="pct"/>
            <w:tcBorders>
              <w:top w:val="single" w:color="auto" w:sz="2" w:space="0"/>
              <w:left w:val="single" w:color="auto" w:sz="2" w:space="0"/>
              <w:bottom w:val="single" w:color="auto" w:sz="2" w:space="0"/>
            </w:tcBorders>
            <w:noWrap w:val="0"/>
            <w:vAlign w:val="center"/>
          </w:tcPr>
          <w:p w14:paraId="71CF8D5D">
            <w:pPr>
              <w:adjustRightInd w:val="0"/>
              <w:snapToGrid w:val="0"/>
              <w:spacing w:line="300" w:lineRule="exact"/>
              <w:jc w:val="center"/>
              <w:rPr>
                <w:rFonts w:hint="eastAsia" w:ascii="宋体" w:hAnsi="宋体" w:eastAsia="宋体" w:cs="宋体"/>
                <w:spacing w:val="20"/>
                <w:sz w:val="24"/>
                <w:szCs w:val="24"/>
              </w:rPr>
            </w:pPr>
          </w:p>
        </w:tc>
      </w:tr>
      <w:tr w14:paraId="726CCDA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F79C187">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65AEB0E">
            <w:pPr>
              <w:adjustRightInd w:val="0"/>
              <w:snapToGrid w:val="0"/>
              <w:spacing w:line="300" w:lineRule="exact"/>
              <w:jc w:val="center"/>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56ADAE3">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259" w:type="pct"/>
            <w:tcBorders>
              <w:top w:val="single" w:color="auto" w:sz="2" w:space="0"/>
              <w:left w:val="single" w:color="auto" w:sz="2" w:space="0"/>
              <w:bottom w:val="single" w:color="auto" w:sz="2" w:space="0"/>
            </w:tcBorders>
            <w:noWrap w:val="0"/>
            <w:vAlign w:val="center"/>
          </w:tcPr>
          <w:p w14:paraId="70AF12CE">
            <w:pPr>
              <w:adjustRightInd w:val="0"/>
              <w:snapToGrid w:val="0"/>
              <w:spacing w:line="300" w:lineRule="exact"/>
              <w:jc w:val="center"/>
              <w:rPr>
                <w:rFonts w:hint="eastAsia" w:ascii="宋体" w:hAnsi="宋体" w:eastAsia="宋体" w:cs="宋体"/>
                <w:spacing w:val="20"/>
                <w:sz w:val="24"/>
                <w:szCs w:val="24"/>
              </w:rPr>
            </w:pPr>
          </w:p>
        </w:tc>
      </w:tr>
      <w:tr w14:paraId="5D6FC0F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B8B6642">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3296D29">
            <w:pPr>
              <w:adjustRightInd w:val="0"/>
              <w:snapToGrid w:val="0"/>
              <w:spacing w:line="300" w:lineRule="exact"/>
              <w:jc w:val="center"/>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67576FF">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通信地址</w:t>
            </w:r>
          </w:p>
        </w:tc>
        <w:tc>
          <w:tcPr>
            <w:tcW w:w="1259" w:type="pct"/>
            <w:tcBorders>
              <w:top w:val="single" w:color="auto" w:sz="2" w:space="0"/>
              <w:left w:val="single" w:color="auto" w:sz="2" w:space="0"/>
              <w:bottom w:val="single" w:color="auto" w:sz="2" w:space="0"/>
            </w:tcBorders>
            <w:noWrap w:val="0"/>
            <w:vAlign w:val="center"/>
          </w:tcPr>
          <w:p w14:paraId="4ECE1810">
            <w:pPr>
              <w:adjustRightInd w:val="0"/>
              <w:snapToGrid w:val="0"/>
              <w:spacing w:line="300" w:lineRule="exact"/>
              <w:jc w:val="center"/>
              <w:rPr>
                <w:rFonts w:hint="eastAsia" w:ascii="宋体" w:hAnsi="宋体" w:eastAsia="宋体" w:cs="宋体"/>
                <w:spacing w:val="20"/>
                <w:sz w:val="24"/>
                <w:szCs w:val="24"/>
              </w:rPr>
            </w:pPr>
          </w:p>
        </w:tc>
      </w:tr>
      <w:tr w14:paraId="7A34A6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0E625E7D">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C2EA696">
            <w:pPr>
              <w:adjustRightInd w:val="0"/>
              <w:snapToGrid w:val="0"/>
              <w:spacing w:line="300" w:lineRule="exact"/>
              <w:jc w:val="center"/>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96B105C">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邮政编码</w:t>
            </w:r>
          </w:p>
        </w:tc>
        <w:tc>
          <w:tcPr>
            <w:tcW w:w="1259" w:type="pct"/>
            <w:tcBorders>
              <w:top w:val="single" w:color="auto" w:sz="2" w:space="0"/>
              <w:left w:val="single" w:color="auto" w:sz="2" w:space="0"/>
              <w:bottom w:val="single" w:color="auto" w:sz="2" w:space="0"/>
            </w:tcBorders>
            <w:noWrap w:val="0"/>
            <w:vAlign w:val="center"/>
          </w:tcPr>
          <w:p w14:paraId="6025F2D1">
            <w:pPr>
              <w:adjustRightInd w:val="0"/>
              <w:snapToGrid w:val="0"/>
              <w:spacing w:line="300" w:lineRule="exact"/>
              <w:jc w:val="center"/>
              <w:rPr>
                <w:rFonts w:hint="eastAsia" w:ascii="宋体" w:hAnsi="宋体" w:eastAsia="宋体" w:cs="宋体"/>
                <w:spacing w:val="20"/>
                <w:sz w:val="24"/>
                <w:szCs w:val="24"/>
              </w:rPr>
            </w:pPr>
          </w:p>
        </w:tc>
      </w:tr>
      <w:tr w14:paraId="1EE1E56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F0989AE">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43C5CFB">
            <w:pPr>
              <w:adjustRightInd w:val="0"/>
              <w:snapToGrid w:val="0"/>
              <w:spacing w:line="300" w:lineRule="exact"/>
              <w:jc w:val="center"/>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0223931">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电子邮箱</w:t>
            </w:r>
          </w:p>
        </w:tc>
        <w:tc>
          <w:tcPr>
            <w:tcW w:w="1259" w:type="pct"/>
            <w:tcBorders>
              <w:top w:val="single" w:color="auto" w:sz="2" w:space="0"/>
              <w:left w:val="single" w:color="auto" w:sz="2" w:space="0"/>
              <w:bottom w:val="single" w:color="auto" w:sz="2" w:space="0"/>
            </w:tcBorders>
            <w:noWrap w:val="0"/>
            <w:vAlign w:val="center"/>
          </w:tcPr>
          <w:p w14:paraId="14336FC1">
            <w:pPr>
              <w:adjustRightInd w:val="0"/>
              <w:snapToGrid w:val="0"/>
              <w:spacing w:line="300" w:lineRule="exact"/>
              <w:jc w:val="center"/>
              <w:rPr>
                <w:rFonts w:hint="eastAsia" w:ascii="宋体" w:hAnsi="宋体" w:eastAsia="宋体" w:cs="宋体"/>
                <w:spacing w:val="20"/>
                <w:sz w:val="24"/>
                <w:szCs w:val="24"/>
              </w:rPr>
            </w:pPr>
          </w:p>
        </w:tc>
      </w:tr>
      <w:tr w14:paraId="21276CB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0773950C">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B2564CC">
            <w:pPr>
              <w:adjustRightInd w:val="0"/>
              <w:snapToGrid w:val="0"/>
              <w:spacing w:line="300" w:lineRule="exact"/>
              <w:jc w:val="center"/>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FDAEC03">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统一社会信用代码</w:t>
            </w:r>
          </w:p>
        </w:tc>
        <w:tc>
          <w:tcPr>
            <w:tcW w:w="1259" w:type="pct"/>
            <w:tcBorders>
              <w:top w:val="single" w:color="auto" w:sz="2" w:space="0"/>
              <w:left w:val="single" w:color="auto" w:sz="2" w:space="0"/>
              <w:bottom w:val="single" w:color="auto" w:sz="2" w:space="0"/>
            </w:tcBorders>
            <w:noWrap w:val="0"/>
            <w:vAlign w:val="center"/>
          </w:tcPr>
          <w:p w14:paraId="29BC6F2A">
            <w:pPr>
              <w:adjustRightInd w:val="0"/>
              <w:snapToGrid w:val="0"/>
              <w:spacing w:line="300" w:lineRule="exact"/>
              <w:jc w:val="center"/>
              <w:rPr>
                <w:rFonts w:hint="eastAsia" w:ascii="宋体" w:hAnsi="宋体" w:eastAsia="宋体" w:cs="宋体"/>
                <w:spacing w:val="20"/>
                <w:sz w:val="24"/>
                <w:szCs w:val="24"/>
              </w:rPr>
            </w:pPr>
          </w:p>
        </w:tc>
      </w:tr>
      <w:tr w14:paraId="78F08C3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7A358BDF">
            <w:pPr>
              <w:adjustRightInd w:val="0"/>
              <w:snapToGrid w:val="0"/>
              <w:spacing w:line="300" w:lineRule="exact"/>
              <w:jc w:val="center"/>
              <w:rPr>
                <w:rFonts w:hint="eastAsia" w:ascii="宋体" w:hAnsi="宋体" w:eastAsia="宋体" w:cs="宋体"/>
                <w:sz w:val="24"/>
                <w:szCs w:val="24"/>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58417E1">
            <w:pPr>
              <w:adjustRightInd w:val="0"/>
              <w:snapToGrid w:val="0"/>
              <w:spacing w:line="300" w:lineRule="exact"/>
              <w:jc w:val="center"/>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E5E294F">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开户名称</w:t>
            </w:r>
          </w:p>
        </w:tc>
        <w:tc>
          <w:tcPr>
            <w:tcW w:w="1259" w:type="pct"/>
            <w:tcBorders>
              <w:top w:val="single" w:color="auto" w:sz="2" w:space="0"/>
              <w:left w:val="single" w:color="auto" w:sz="2" w:space="0"/>
              <w:bottom w:val="single" w:color="auto" w:sz="2" w:space="0"/>
            </w:tcBorders>
            <w:noWrap w:val="0"/>
            <w:vAlign w:val="center"/>
          </w:tcPr>
          <w:p w14:paraId="2B93CC42">
            <w:pPr>
              <w:adjustRightInd w:val="0"/>
              <w:snapToGrid w:val="0"/>
              <w:spacing w:line="300" w:lineRule="exact"/>
              <w:jc w:val="center"/>
              <w:rPr>
                <w:rFonts w:hint="eastAsia" w:ascii="宋体" w:hAnsi="宋体" w:eastAsia="宋体" w:cs="宋体"/>
                <w:spacing w:val="20"/>
                <w:sz w:val="24"/>
                <w:szCs w:val="24"/>
              </w:rPr>
            </w:pPr>
          </w:p>
        </w:tc>
      </w:tr>
      <w:tr w14:paraId="60828BD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9C5ACB5">
            <w:pPr>
              <w:adjustRightInd w:val="0"/>
              <w:snapToGrid w:val="0"/>
              <w:spacing w:line="300" w:lineRule="exact"/>
              <w:jc w:val="center"/>
              <w:rPr>
                <w:rFonts w:hint="eastAsia" w:ascii="宋体" w:hAnsi="宋体" w:eastAsia="宋体" w:cs="宋体"/>
                <w:sz w:val="24"/>
                <w:szCs w:val="24"/>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CAD2346">
            <w:pPr>
              <w:adjustRightInd w:val="0"/>
              <w:snapToGrid w:val="0"/>
              <w:spacing w:line="300" w:lineRule="exact"/>
              <w:jc w:val="center"/>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D8488A5">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开户银行</w:t>
            </w:r>
          </w:p>
        </w:tc>
        <w:tc>
          <w:tcPr>
            <w:tcW w:w="1259" w:type="pct"/>
            <w:tcBorders>
              <w:top w:val="single" w:color="auto" w:sz="2" w:space="0"/>
              <w:left w:val="single" w:color="auto" w:sz="2" w:space="0"/>
              <w:bottom w:val="single" w:color="auto" w:sz="2" w:space="0"/>
            </w:tcBorders>
            <w:noWrap w:val="0"/>
            <w:vAlign w:val="center"/>
          </w:tcPr>
          <w:p w14:paraId="7B51D289">
            <w:pPr>
              <w:adjustRightInd w:val="0"/>
              <w:snapToGrid w:val="0"/>
              <w:spacing w:line="300" w:lineRule="exact"/>
              <w:jc w:val="center"/>
              <w:rPr>
                <w:rFonts w:hint="eastAsia" w:ascii="宋体" w:hAnsi="宋体" w:eastAsia="宋体" w:cs="宋体"/>
                <w:spacing w:val="20"/>
                <w:sz w:val="24"/>
                <w:szCs w:val="24"/>
              </w:rPr>
            </w:pPr>
          </w:p>
        </w:tc>
      </w:tr>
      <w:tr w14:paraId="07D02D0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8ACBBEE">
            <w:pPr>
              <w:adjustRightInd w:val="0"/>
              <w:snapToGrid w:val="0"/>
              <w:spacing w:line="300" w:lineRule="exact"/>
              <w:jc w:val="center"/>
              <w:rPr>
                <w:rFonts w:hint="eastAsia" w:ascii="宋体" w:hAnsi="宋体" w:eastAsia="宋体" w:cs="宋体"/>
                <w:sz w:val="24"/>
                <w:szCs w:val="24"/>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114A1AD">
            <w:pPr>
              <w:adjustRightInd w:val="0"/>
              <w:snapToGrid w:val="0"/>
              <w:spacing w:line="300" w:lineRule="exact"/>
              <w:jc w:val="center"/>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70BC06C">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sz w:val="24"/>
                <w:szCs w:val="24"/>
              </w:rPr>
              <w:t>银行账号</w:t>
            </w:r>
          </w:p>
        </w:tc>
        <w:tc>
          <w:tcPr>
            <w:tcW w:w="1259" w:type="pct"/>
            <w:tcBorders>
              <w:top w:val="single" w:color="auto" w:sz="2" w:space="0"/>
              <w:left w:val="single" w:color="auto" w:sz="2" w:space="0"/>
              <w:bottom w:val="single" w:color="auto" w:sz="2" w:space="0"/>
            </w:tcBorders>
            <w:noWrap w:val="0"/>
            <w:vAlign w:val="center"/>
          </w:tcPr>
          <w:p w14:paraId="05031DB9">
            <w:pPr>
              <w:adjustRightInd w:val="0"/>
              <w:snapToGrid w:val="0"/>
              <w:spacing w:line="300" w:lineRule="exact"/>
              <w:jc w:val="center"/>
              <w:rPr>
                <w:rFonts w:hint="eastAsia" w:ascii="宋体" w:hAnsi="宋体" w:eastAsia="宋体" w:cs="宋体"/>
                <w:spacing w:val="20"/>
                <w:sz w:val="24"/>
                <w:szCs w:val="24"/>
              </w:rPr>
            </w:pPr>
          </w:p>
        </w:tc>
      </w:tr>
      <w:tr w14:paraId="6701C52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noWrap w:val="0"/>
            <w:vAlign w:val="center"/>
          </w:tcPr>
          <w:p w14:paraId="107BF18E">
            <w:pPr>
              <w:pStyle w:val="9"/>
              <w:adjustRightInd w:val="0"/>
              <w:snapToGrid w:val="0"/>
              <w:spacing w:before="163" w:beforeLines="50"/>
              <w:ind w:left="0" w:leftChars="0"/>
              <w:jc w:val="left"/>
              <w:rPr>
                <w:rFonts w:hint="eastAsia" w:ascii="宋体" w:hAnsi="宋体" w:eastAsia="宋体" w:cs="宋体"/>
                <w:spacing w:val="20"/>
                <w:sz w:val="24"/>
                <w:szCs w:val="24"/>
              </w:rPr>
            </w:pPr>
            <w:r>
              <w:rPr>
                <w:rFonts w:hint="eastAsia" w:ascii="宋体" w:hAnsi="宋体" w:eastAsia="宋体" w:cs="宋体"/>
                <w:sz w:val="24"/>
                <w:szCs w:val="24"/>
              </w:rPr>
              <w:t>注：涉及联合体或其他合同主体的信息应按上表格式加列。</w:t>
            </w:r>
          </w:p>
        </w:tc>
      </w:tr>
    </w:tbl>
    <w:p w14:paraId="1B1FC911">
      <w:pPr>
        <w:bidi w:val="0"/>
        <w:jc w:val="center"/>
        <w:rPr>
          <w:rFonts w:hint="eastAsia" w:ascii="宋体" w:hAnsi="宋体" w:eastAsia="宋体" w:cs="宋体"/>
          <w:sz w:val="24"/>
          <w:szCs w:val="24"/>
        </w:rPr>
      </w:pPr>
      <w:r>
        <w:rPr>
          <w:rFonts w:hint="eastAsia" w:ascii="宋体" w:hAnsi="宋体" w:eastAsia="宋体" w:cs="宋体"/>
          <w:sz w:val="24"/>
          <w:szCs w:val="24"/>
          <w:u w:val="single"/>
        </w:rPr>
        <w:br w:type="page"/>
      </w:r>
      <w:bookmarkStart w:id="121" w:name="_Toc27624"/>
      <w:r>
        <w:rPr>
          <w:rFonts w:hint="eastAsia" w:ascii="宋体" w:hAnsi="宋体" w:eastAsia="宋体" w:cs="宋体"/>
          <w:b/>
          <w:bCs/>
          <w:sz w:val="24"/>
          <w:szCs w:val="24"/>
        </w:rPr>
        <w:t>第二节 政府采购合同通用条款</w:t>
      </w:r>
      <w:bookmarkEnd w:id="121"/>
    </w:p>
    <w:p w14:paraId="2D6795E1">
      <w:pPr>
        <w:tabs>
          <w:tab w:val="left" w:pos="8820"/>
          <w:tab w:val="left" w:pos="9345"/>
          <w:tab w:val="left" w:pos="9765"/>
        </w:tabs>
        <w:adjustRightInd w:val="0"/>
        <w:snapToGrid w:val="0"/>
        <w:spacing w:line="400" w:lineRule="exact"/>
        <w:jc w:val="left"/>
        <w:rPr>
          <w:rFonts w:hint="eastAsia" w:ascii="宋体" w:hAnsi="宋体" w:eastAsia="宋体" w:cs="宋体"/>
          <w:b/>
          <w:bCs/>
          <w:sz w:val="24"/>
          <w:szCs w:val="24"/>
        </w:rPr>
      </w:pPr>
      <w:r>
        <w:rPr>
          <w:rFonts w:hint="eastAsia" w:ascii="宋体" w:hAnsi="宋体" w:eastAsia="宋体" w:cs="宋体"/>
          <w:b/>
          <w:sz w:val="24"/>
          <w:szCs w:val="24"/>
        </w:rPr>
        <w:t xml:space="preserve">1. </w:t>
      </w:r>
      <w:r>
        <w:rPr>
          <w:rFonts w:hint="eastAsia" w:ascii="宋体" w:hAnsi="宋体" w:eastAsia="宋体" w:cs="宋体"/>
          <w:b/>
          <w:bCs/>
          <w:sz w:val="24"/>
          <w:szCs w:val="24"/>
        </w:rPr>
        <w:t>定义</w:t>
      </w:r>
    </w:p>
    <w:p w14:paraId="3290FBEF">
      <w:pPr>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1.1合同当事人</w:t>
      </w:r>
    </w:p>
    <w:p w14:paraId="77573606">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（1）采购人（以下称甲方）是指使用财政性资金，通过政府采购方式向供应商购买货物及其相关服务的国家机关、事业单位、团体组织。</w:t>
      </w:r>
    </w:p>
    <w:p w14:paraId="5DA4134F">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（2）供应商（以下称乙方）是指参加政府采购活动并且中标（成交），向采购人提供合同约定的货物及其相关服务的法人、非法人组织或者自然人。</w:t>
      </w:r>
    </w:p>
    <w:p w14:paraId="35A0A82C">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（3）其他合同主体是指除采购人和供应商以外，</w:t>
      </w:r>
      <w:r>
        <w:rPr>
          <w:rFonts w:hint="eastAsia" w:ascii="宋体" w:hAnsi="宋体" w:eastAsia="宋体" w:cs="宋体"/>
          <w:bCs/>
          <w:color w:val="000000"/>
          <w:sz w:val="24"/>
          <w:szCs w:val="24"/>
        </w:rPr>
        <w:t>依法参与合同缔结或履行，享有权利、承担义务的合同当事人</w:t>
      </w:r>
      <w:r>
        <w:rPr>
          <w:rFonts w:hint="eastAsia" w:ascii="宋体" w:hAnsi="宋体" w:eastAsia="宋体" w:cs="宋体"/>
          <w:sz w:val="24"/>
          <w:szCs w:val="24"/>
        </w:rPr>
        <w:t>。</w:t>
      </w:r>
    </w:p>
    <w:p w14:paraId="0E55E5D3">
      <w:pPr>
        <w:tabs>
          <w:tab w:val="left" w:pos="570"/>
          <w:tab w:val="left" w:pos="9240"/>
          <w:tab w:val="left" w:pos="9555"/>
        </w:tabs>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1.2本合同下列术语应解释为：</w:t>
      </w:r>
    </w:p>
    <w:p w14:paraId="5F68EE5E">
      <w:pPr>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（1）“合同”系指</w:t>
      </w:r>
      <w:r>
        <w:rPr>
          <w:rFonts w:hint="eastAsia" w:ascii="宋体" w:hAnsi="宋体" w:eastAsia="宋体" w:cs="宋体"/>
          <w:bCs/>
          <w:color w:val="000000"/>
          <w:sz w:val="24"/>
          <w:szCs w:val="24"/>
        </w:rPr>
        <w:t>合同当事人意思表示达成一致的任何协议，包括签署的</w:t>
      </w:r>
      <w:r>
        <w:rPr>
          <w:rFonts w:hint="eastAsia" w:ascii="宋体" w:hAnsi="宋体" w:eastAsia="宋体" w:cs="宋体"/>
          <w:sz w:val="24"/>
          <w:szCs w:val="24"/>
        </w:rPr>
        <w:t>政府采购合同协议书及其变更、补充协议，政府采购合同专用条款，政府采购合同通用条款，中标（成交）通知书，投标（响应）文件，采购文件，有关技术文件和图纸，以及</w:t>
      </w:r>
      <w:r>
        <w:rPr>
          <w:rFonts w:hint="eastAsia" w:ascii="宋体" w:hAnsi="宋体" w:eastAsia="宋体" w:cs="宋体"/>
          <w:color w:val="000000"/>
          <w:sz w:val="24"/>
          <w:szCs w:val="24"/>
        </w:rPr>
        <w:t>国家法律、行政法规和规章制度规定或合同约定的作为合同组成部分的其他文件</w:t>
      </w:r>
      <w:r>
        <w:rPr>
          <w:rFonts w:hint="eastAsia" w:ascii="宋体" w:hAnsi="宋体" w:eastAsia="宋体" w:cs="宋体"/>
          <w:sz w:val="24"/>
          <w:szCs w:val="24"/>
        </w:rPr>
        <w:t>。</w:t>
      </w:r>
    </w:p>
    <w:p w14:paraId="7B30BA5E">
      <w:pPr>
        <w:tabs>
          <w:tab w:val="left" w:pos="570"/>
          <w:tab w:val="left" w:pos="9240"/>
          <w:tab w:val="left" w:pos="9555"/>
        </w:tabs>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（2）“合同价款”系指根据本合同规定乙方在全面履行合同义务后甲方应支付给乙方的价款。</w:t>
      </w:r>
    </w:p>
    <w:p w14:paraId="764FD34D">
      <w:pPr>
        <w:tabs>
          <w:tab w:val="left" w:pos="570"/>
          <w:tab w:val="left" w:pos="9240"/>
          <w:tab w:val="left" w:pos="9555"/>
        </w:tabs>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sz w:val="24"/>
          <w:szCs w:val="24"/>
        </w:rPr>
        <w:t>（3）“货物”系指乙方根据本合同规定须向甲方提供的各种形态和种类的物品，包括原材料、设备、产品（</w:t>
      </w:r>
      <w:r>
        <w:rPr>
          <w:rFonts w:hint="eastAsia" w:ascii="宋体" w:hAnsi="宋体" w:eastAsia="宋体" w:cs="宋体"/>
          <w:color w:val="000000"/>
          <w:sz w:val="24"/>
          <w:szCs w:val="24"/>
        </w:rPr>
        <w:t>包括软件）及相关的其备品备件、工具、手册及</w:t>
      </w:r>
      <w:r>
        <w:rPr>
          <w:rFonts w:hint="eastAsia" w:ascii="宋体" w:hAnsi="宋体" w:eastAsia="宋体" w:cs="宋体"/>
          <w:color w:val="000000"/>
          <w:sz w:val="24"/>
          <w:szCs w:val="24"/>
          <w:lang w:val="en"/>
        </w:rPr>
        <w:t>其他</w:t>
      </w:r>
      <w:r>
        <w:rPr>
          <w:rFonts w:hint="eastAsia" w:ascii="宋体" w:hAnsi="宋体" w:eastAsia="宋体" w:cs="宋体"/>
          <w:color w:val="000000"/>
          <w:sz w:val="24"/>
          <w:szCs w:val="24"/>
        </w:rPr>
        <w:t>技术资料和材料等。</w:t>
      </w:r>
    </w:p>
    <w:p w14:paraId="6D4BCCFA">
      <w:pPr>
        <w:adjustRightInd w:val="0"/>
        <w:snapToGrid w:val="0"/>
        <w:spacing w:line="400" w:lineRule="exact"/>
        <w:ind w:firstLine="480" w:firstLineChars="200"/>
        <w:jc w:val="left"/>
        <w:rPr>
          <w:rFonts w:hint="eastAsia" w:ascii="宋体" w:hAnsi="宋体" w:eastAsia="宋体" w:cs="宋体"/>
          <w:color w:val="000000"/>
          <w:sz w:val="24"/>
          <w:szCs w:val="24"/>
          <w:highlight w:val="yellow"/>
        </w:rPr>
      </w:pPr>
      <w:r>
        <w:rPr>
          <w:rFonts w:hint="eastAsia" w:ascii="宋体" w:hAnsi="宋体" w:eastAsia="宋体" w:cs="宋体"/>
          <w:color w:val="000000"/>
          <w:sz w:val="24"/>
          <w:szCs w:val="24"/>
        </w:rPr>
        <w:t>（4）“</w:t>
      </w:r>
      <w:r>
        <w:rPr>
          <w:rFonts w:hint="eastAsia" w:ascii="宋体" w:hAnsi="宋体" w:eastAsia="宋体" w:cs="宋体"/>
          <w:sz w:val="24"/>
          <w:szCs w:val="24"/>
        </w:rPr>
        <w:t>相关</w:t>
      </w:r>
      <w:r>
        <w:rPr>
          <w:rFonts w:hint="eastAsia" w:ascii="宋体" w:hAnsi="宋体" w:eastAsia="宋体" w:cs="宋体"/>
          <w:color w:val="000000"/>
          <w:sz w:val="24"/>
          <w:szCs w:val="24"/>
        </w:rPr>
        <w:t>服务”系指根据合同规定，乙方应提供的与货物有关的技术、管理和</w:t>
      </w:r>
      <w:r>
        <w:rPr>
          <w:rFonts w:hint="eastAsia" w:ascii="宋体" w:hAnsi="宋体" w:eastAsia="宋体" w:cs="宋体"/>
          <w:color w:val="000000"/>
          <w:sz w:val="24"/>
          <w:szCs w:val="24"/>
          <w:lang w:val="en"/>
        </w:rPr>
        <w:t>其他</w:t>
      </w:r>
      <w:r>
        <w:rPr>
          <w:rFonts w:hint="eastAsia" w:ascii="宋体" w:hAnsi="宋体" w:eastAsia="宋体" w:cs="宋体"/>
          <w:color w:val="000000"/>
          <w:sz w:val="24"/>
          <w:szCs w:val="24"/>
        </w:rPr>
        <w:t>服务，包括但不限于：管理和质量保证、运输、保险、检验、现场准备、安装、集成、调试、培训、维修、废弃处置、技术支持等以及合同中规定乙方应承担的</w:t>
      </w:r>
      <w:r>
        <w:rPr>
          <w:rFonts w:hint="eastAsia" w:ascii="宋体" w:hAnsi="宋体" w:eastAsia="宋体" w:cs="宋体"/>
          <w:color w:val="000000"/>
          <w:sz w:val="24"/>
          <w:szCs w:val="24"/>
          <w:lang w:val="en"/>
        </w:rPr>
        <w:t>其他</w:t>
      </w:r>
      <w:r>
        <w:rPr>
          <w:rFonts w:hint="eastAsia" w:ascii="宋体" w:hAnsi="宋体" w:eastAsia="宋体" w:cs="宋体"/>
          <w:color w:val="000000"/>
          <w:sz w:val="24"/>
          <w:szCs w:val="24"/>
        </w:rPr>
        <w:t>义务。</w:t>
      </w:r>
    </w:p>
    <w:p w14:paraId="2CE5DCC1">
      <w:pPr>
        <w:adjustRightInd w:val="0"/>
        <w:snapToGrid w:val="0"/>
        <w:spacing w:line="400" w:lineRule="exact"/>
        <w:ind w:firstLine="480" w:firstLineChars="200"/>
        <w:jc w:val="left"/>
        <w:rPr>
          <w:rFonts w:hint="eastAsia" w:ascii="宋体" w:hAnsi="宋体" w:eastAsia="宋体" w:cs="宋体"/>
          <w:color w:val="000000"/>
          <w:sz w:val="24"/>
          <w:szCs w:val="24"/>
          <w:highlight w:val="yellow"/>
        </w:rPr>
      </w:pPr>
      <w:r>
        <w:rPr>
          <w:rFonts w:hint="eastAsia" w:ascii="宋体" w:hAnsi="宋体" w:eastAsia="宋体" w:cs="宋体"/>
          <w:color w:val="000000"/>
          <w:sz w:val="24"/>
          <w:szCs w:val="24"/>
        </w:rPr>
        <w:t>（5）“分包”系指中标（成交）供应商按采购文件、投标（响应）文件的规定，根据分包意向协议，将中标（成交）项目中的部分履约内容，分给具有相应资质条件的供应商履行合同的行为。</w:t>
      </w:r>
    </w:p>
    <w:p w14:paraId="306E566C">
      <w:pPr>
        <w:tabs>
          <w:tab w:val="left" w:pos="570"/>
          <w:tab w:val="left" w:pos="9240"/>
          <w:tab w:val="left" w:pos="9555"/>
        </w:tabs>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sz w:val="24"/>
          <w:szCs w:val="24"/>
        </w:rPr>
        <w:t>“联合体”系指由两个以上的自然人、法人或者非法人组织组成，以一个供应商的身份共同参加政府采购的主体</w:t>
      </w:r>
      <w:r>
        <w:rPr>
          <w:rFonts w:hint="eastAsia" w:ascii="宋体" w:hAnsi="宋体" w:eastAsia="宋体" w:cs="宋体"/>
          <w:color w:val="000000"/>
          <w:sz w:val="24"/>
          <w:szCs w:val="24"/>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000000"/>
          <w:sz w:val="24"/>
          <w:szCs w:val="24"/>
        </w:rPr>
        <w:t>政府采购合同专用条款</w:t>
      </w:r>
      <w:r>
        <w:rPr>
          <w:rFonts w:hint="eastAsia" w:ascii="宋体" w:hAnsi="宋体" w:eastAsia="宋体" w:cs="宋体"/>
          <w:color w:val="000000"/>
          <w:sz w:val="24"/>
          <w:szCs w:val="24"/>
        </w:rPr>
        <w:t>】。</w:t>
      </w:r>
    </w:p>
    <w:p w14:paraId="7D61C421">
      <w:pPr>
        <w:tabs>
          <w:tab w:val="left" w:pos="570"/>
          <w:tab w:val="left" w:pos="9240"/>
          <w:tab w:val="left" w:pos="9555"/>
        </w:tabs>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（7）其他术语解释，见【</w:t>
      </w:r>
      <w:r>
        <w:rPr>
          <w:rFonts w:hint="eastAsia" w:ascii="宋体" w:hAnsi="宋体" w:eastAsia="宋体" w:cs="宋体"/>
          <w:b/>
          <w:bCs/>
          <w:color w:val="000000"/>
          <w:sz w:val="24"/>
          <w:szCs w:val="24"/>
        </w:rPr>
        <w:t>政府采购合同专用条款</w:t>
      </w:r>
      <w:r>
        <w:rPr>
          <w:rFonts w:hint="eastAsia" w:ascii="宋体" w:hAnsi="宋体" w:eastAsia="宋体" w:cs="宋体"/>
          <w:color w:val="000000"/>
          <w:sz w:val="24"/>
          <w:szCs w:val="24"/>
        </w:rPr>
        <w:t>】。</w:t>
      </w:r>
    </w:p>
    <w:p w14:paraId="09BEADFF">
      <w:pPr>
        <w:numPr>
          <w:ilvl w:val="0"/>
          <w:numId w:val="7"/>
        </w:numPr>
        <w:autoSpaceDE w:val="0"/>
        <w:autoSpaceDN w:val="0"/>
        <w:adjustRightInd w:val="0"/>
        <w:snapToGrid w:val="0"/>
        <w:spacing w:line="400" w:lineRule="exact"/>
        <w:jc w:val="left"/>
        <w:rPr>
          <w:rFonts w:hint="eastAsia" w:ascii="宋体" w:hAnsi="宋体" w:eastAsia="宋体" w:cs="宋体"/>
          <w:b/>
          <w:bCs/>
          <w:color w:val="000000"/>
          <w:sz w:val="24"/>
          <w:szCs w:val="24"/>
        </w:rPr>
      </w:pPr>
      <w:r>
        <w:rPr>
          <w:rFonts w:hint="eastAsia" w:ascii="宋体" w:hAnsi="宋体" w:eastAsia="宋体" w:cs="宋体"/>
          <w:b/>
          <w:color w:val="000000"/>
          <w:sz w:val="24"/>
          <w:szCs w:val="24"/>
        </w:rPr>
        <w:t>合同标的及金额</w:t>
      </w:r>
    </w:p>
    <w:p w14:paraId="424294DE">
      <w:pPr>
        <w:autoSpaceDE w:val="0"/>
        <w:autoSpaceDN w:val="0"/>
        <w:adjustRightInd w:val="0"/>
        <w:snapToGrid w:val="0"/>
        <w:spacing w:line="400" w:lineRule="exact"/>
        <w:ind w:firstLine="480" w:firstLineChars="200"/>
        <w:jc w:val="left"/>
        <w:rPr>
          <w:rFonts w:hint="eastAsia" w:ascii="宋体" w:hAnsi="宋体" w:eastAsia="宋体" w:cs="宋体"/>
          <w:b/>
          <w:bCs/>
          <w:i/>
          <w:iCs/>
          <w:color w:val="000000"/>
          <w:sz w:val="24"/>
          <w:szCs w:val="24"/>
        </w:rPr>
      </w:pPr>
      <w:r>
        <w:rPr>
          <w:rFonts w:hint="eastAsia" w:ascii="宋体" w:hAnsi="宋体" w:eastAsia="宋体" w:cs="宋体"/>
          <w:color w:val="000000"/>
          <w:sz w:val="24"/>
          <w:szCs w:val="24"/>
        </w:rPr>
        <w:t>2.1 合同标的及金额应与中标（成交）结果一致。乙方为履行本合同而发生的所有费用均应包含在合同价款中，甲方不再另行支付</w:t>
      </w:r>
      <w:r>
        <w:rPr>
          <w:rFonts w:hint="eastAsia" w:ascii="宋体" w:hAnsi="宋体" w:eastAsia="宋体" w:cs="宋体"/>
          <w:color w:val="000000"/>
          <w:sz w:val="24"/>
          <w:szCs w:val="24"/>
          <w:lang w:val="en"/>
        </w:rPr>
        <w:t>其他</w:t>
      </w:r>
      <w:r>
        <w:rPr>
          <w:rFonts w:hint="eastAsia" w:ascii="宋体" w:hAnsi="宋体" w:eastAsia="宋体" w:cs="宋体"/>
          <w:color w:val="000000"/>
          <w:sz w:val="24"/>
          <w:szCs w:val="24"/>
        </w:rPr>
        <w:t>任何费用。</w:t>
      </w:r>
    </w:p>
    <w:p w14:paraId="1B55789B">
      <w:pPr>
        <w:adjustRightInd w:val="0"/>
        <w:snapToGrid w:val="0"/>
        <w:spacing w:line="400" w:lineRule="exact"/>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t>3. 履行合同的时间、地点和方式</w:t>
      </w:r>
    </w:p>
    <w:p w14:paraId="55A3F4DF">
      <w:pPr>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3.1 </w:t>
      </w:r>
      <w:r>
        <w:rPr>
          <w:rFonts w:hint="eastAsia" w:ascii="宋体" w:hAnsi="宋体" w:eastAsia="宋体" w:cs="宋体"/>
          <w:sz w:val="24"/>
          <w:szCs w:val="24"/>
        </w:rPr>
        <w:t>乙方应当在约定的时间、地点，按照约定方式履行合同。</w:t>
      </w:r>
    </w:p>
    <w:p w14:paraId="731B6CF4">
      <w:pPr>
        <w:autoSpaceDE w:val="0"/>
        <w:autoSpaceDN w:val="0"/>
        <w:adjustRightInd w:val="0"/>
        <w:snapToGrid w:val="0"/>
        <w:spacing w:line="400" w:lineRule="exact"/>
        <w:jc w:val="left"/>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 甲方的权利和义务</w:t>
      </w:r>
    </w:p>
    <w:p w14:paraId="521A1EDD">
      <w:pPr>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4.1 签署合同后，甲方应确定项目负责人（或项目联系人），负责与本合同有关的事务。甲方有权对乙方的履约行为进行检查，并及时确认乙方提交的事项。甲方应当配合乙方完成相关项目实施工作。</w:t>
      </w:r>
    </w:p>
    <w:p w14:paraId="07455610">
      <w:pPr>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4.2 甲方有权要求乙方按时提交各阶段有关安排计划，并有权定期核对乙方提供货物数量、规格、质量等内容。甲方有权督促乙方工作并要求乙方更换不符合要求的货物。</w:t>
      </w:r>
    </w:p>
    <w:p w14:paraId="0BE6269E">
      <w:pPr>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4.3 甲方有权要求乙方对缺陷部分予以修复，并按合同约定享有货物保修及其他合同约定的权利。</w:t>
      </w:r>
    </w:p>
    <w:p w14:paraId="2BA83876">
      <w:pPr>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4.4 甲方应当按照合同约定及时对交付的货物进行验收，</w:t>
      </w:r>
      <w:r>
        <w:rPr>
          <w:rFonts w:hint="eastAsia" w:ascii="宋体" w:hAnsi="宋体" w:eastAsia="宋体" w:cs="宋体"/>
          <w:sz w:val="24"/>
          <w:szCs w:val="24"/>
        </w:rPr>
        <w:t>未</w:t>
      </w:r>
      <w:r>
        <w:rPr>
          <w:rFonts w:hint="eastAsia" w:ascii="宋体" w:hAnsi="宋体" w:eastAsia="宋体" w:cs="宋体"/>
          <w:color w:val="000000"/>
          <w:sz w:val="24"/>
          <w:szCs w:val="24"/>
        </w:rPr>
        <w:t>在</w:t>
      </w:r>
      <w:r>
        <w:rPr>
          <w:rFonts w:hint="eastAsia" w:ascii="宋体" w:hAnsi="宋体" w:eastAsia="宋体" w:cs="宋体"/>
          <w:b/>
          <w:bCs/>
          <w:sz w:val="24"/>
          <w:szCs w:val="24"/>
        </w:rPr>
        <w:t>【政府采购合同专用条款】</w:t>
      </w:r>
      <w:r>
        <w:rPr>
          <w:rFonts w:hint="eastAsia" w:ascii="宋体" w:hAnsi="宋体" w:eastAsia="宋体" w:cs="宋体"/>
          <w:sz w:val="24"/>
          <w:szCs w:val="24"/>
        </w:rPr>
        <w:t>约定的期限内对乙方履约提出任何异议或者向乙方作出任何说明的，</w:t>
      </w:r>
      <w:r>
        <w:rPr>
          <w:rFonts w:hint="eastAsia" w:ascii="宋体" w:hAnsi="宋体" w:eastAsia="宋体" w:cs="宋体"/>
          <w:color w:val="000000"/>
          <w:sz w:val="24"/>
          <w:szCs w:val="24"/>
        </w:rPr>
        <w:t>视为验收通过。</w:t>
      </w:r>
    </w:p>
    <w:p w14:paraId="7E4156C9">
      <w:pPr>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4.5 甲方应当根据合同约定及时向乙方支付合同价款，不得以内部人员变更、履行内部付款流程等为由，拒绝或迟延支付。</w:t>
      </w:r>
    </w:p>
    <w:p w14:paraId="0BC4D888">
      <w:pPr>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4.6 国家法律法规规定及</w:t>
      </w:r>
      <w:r>
        <w:rPr>
          <w:rFonts w:hint="eastAsia" w:ascii="宋体" w:hAnsi="宋体" w:eastAsia="宋体" w:cs="宋体"/>
          <w:b/>
          <w:bCs/>
          <w:sz w:val="24"/>
          <w:szCs w:val="24"/>
        </w:rPr>
        <w:t>【政府采购合同专用条款】</w:t>
      </w:r>
      <w:r>
        <w:rPr>
          <w:rFonts w:hint="eastAsia" w:ascii="宋体" w:hAnsi="宋体" w:eastAsia="宋体" w:cs="宋体"/>
          <w:color w:val="000000"/>
          <w:sz w:val="24"/>
          <w:szCs w:val="24"/>
        </w:rPr>
        <w:t>约定应由甲方承担的其他义务和责任。</w:t>
      </w:r>
    </w:p>
    <w:p w14:paraId="6CCD5F58">
      <w:pPr>
        <w:autoSpaceDE w:val="0"/>
        <w:autoSpaceDN w:val="0"/>
        <w:adjustRightInd w:val="0"/>
        <w:snapToGrid w:val="0"/>
        <w:spacing w:line="400" w:lineRule="exact"/>
        <w:jc w:val="left"/>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 乙方的权利和义务</w:t>
      </w:r>
    </w:p>
    <w:p w14:paraId="7148F130">
      <w:pPr>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5.1 签署合同后，乙方应确定项目负责人（或项目联系人），负责与本合同有关的事务。</w:t>
      </w:r>
    </w:p>
    <w:p w14:paraId="6877779C">
      <w:pPr>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33A1FCE1">
      <w:pPr>
        <w:pStyle w:val="8"/>
        <w:spacing w:line="400" w:lineRule="exact"/>
        <w:ind w:firstLine="422" w:firstLineChars="176"/>
        <w:rPr>
          <w:rFonts w:hint="eastAsia" w:ascii="宋体" w:hAnsi="宋体" w:eastAsia="宋体" w:cs="宋体"/>
          <w:color w:val="000000"/>
          <w:sz w:val="24"/>
          <w:szCs w:val="24"/>
        </w:rPr>
      </w:pPr>
      <w:r>
        <w:rPr>
          <w:rFonts w:hint="eastAsia" w:ascii="宋体" w:hAnsi="宋体" w:eastAsia="宋体" w:cs="宋体"/>
          <w:color w:val="000000"/>
          <w:sz w:val="24"/>
          <w:szCs w:val="24"/>
        </w:rPr>
        <w:t>5.3乙方有权根据合同约定向甲方收取合同价款。</w:t>
      </w:r>
    </w:p>
    <w:p w14:paraId="2752B494">
      <w:pPr>
        <w:pStyle w:val="8"/>
        <w:spacing w:line="400" w:lineRule="exact"/>
        <w:ind w:firstLine="422" w:firstLineChars="176"/>
        <w:rPr>
          <w:rFonts w:hint="eastAsia" w:ascii="宋体" w:hAnsi="宋体" w:eastAsia="宋体" w:cs="宋体"/>
          <w:color w:val="000000"/>
          <w:sz w:val="24"/>
          <w:szCs w:val="24"/>
        </w:rPr>
      </w:pPr>
      <w:r>
        <w:rPr>
          <w:rFonts w:hint="eastAsia" w:ascii="宋体" w:hAnsi="宋体" w:eastAsia="宋体" w:cs="宋体"/>
          <w:color w:val="000000"/>
          <w:sz w:val="24"/>
          <w:szCs w:val="24"/>
        </w:rPr>
        <w:t>5.4国家法律法规规定及</w:t>
      </w:r>
      <w:r>
        <w:rPr>
          <w:rFonts w:hint="eastAsia" w:ascii="宋体" w:hAnsi="宋体" w:eastAsia="宋体" w:cs="宋体"/>
          <w:b/>
          <w:bCs/>
          <w:sz w:val="24"/>
          <w:szCs w:val="24"/>
        </w:rPr>
        <w:t>【政府采购合同专用条款】</w:t>
      </w:r>
      <w:r>
        <w:rPr>
          <w:rFonts w:hint="eastAsia" w:ascii="宋体" w:hAnsi="宋体" w:eastAsia="宋体" w:cs="宋体"/>
          <w:sz w:val="24"/>
          <w:szCs w:val="24"/>
        </w:rPr>
        <w:t>约定应</w:t>
      </w:r>
      <w:r>
        <w:rPr>
          <w:rFonts w:hint="eastAsia" w:ascii="宋体" w:hAnsi="宋体" w:eastAsia="宋体" w:cs="宋体"/>
          <w:color w:val="000000"/>
          <w:sz w:val="24"/>
          <w:szCs w:val="24"/>
        </w:rPr>
        <w:t>由乙方承担的其他义务和责任。</w:t>
      </w:r>
    </w:p>
    <w:p w14:paraId="3FE6C6F6">
      <w:pPr>
        <w:numPr>
          <w:ilvl w:val="0"/>
          <w:numId w:val="8"/>
        </w:numPr>
        <w:autoSpaceDE w:val="0"/>
        <w:autoSpaceDN w:val="0"/>
        <w:adjustRightInd w:val="0"/>
        <w:snapToGrid w:val="0"/>
        <w:spacing w:line="400" w:lineRule="exact"/>
        <w:jc w:val="left"/>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合同履行</w:t>
      </w:r>
    </w:p>
    <w:p w14:paraId="62E82FEE">
      <w:pPr>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6.1 甲乙双方应当按照</w:t>
      </w:r>
      <w:r>
        <w:rPr>
          <w:rFonts w:hint="eastAsia" w:ascii="宋体" w:hAnsi="宋体" w:eastAsia="宋体" w:cs="宋体"/>
          <w:b/>
          <w:bCs/>
          <w:sz w:val="24"/>
          <w:szCs w:val="24"/>
        </w:rPr>
        <w:t>【政府采购合同专用条款】</w:t>
      </w:r>
      <w:r>
        <w:rPr>
          <w:rFonts w:hint="eastAsia" w:ascii="宋体" w:hAnsi="宋体" w:eastAsia="宋体" w:cs="宋体"/>
          <w:color w:val="000000"/>
          <w:sz w:val="24"/>
          <w:szCs w:val="24"/>
        </w:rPr>
        <w:t>约定顺序履行合同义务；如果没有先后顺序的，应当同时履行。</w:t>
      </w:r>
    </w:p>
    <w:p w14:paraId="26B38467">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color w:val="000000"/>
          <w:sz w:val="24"/>
          <w:szCs w:val="24"/>
        </w:rPr>
        <w:t>6.2 甲乙双方按照合同约定顺序履行合同义务时，应当先履行一方未履行的，后履行一方有权拒绝其履行请求。先履行一方履行不符合约定的，后履行一方有权拒绝其相应的履行请求。</w:t>
      </w:r>
    </w:p>
    <w:p w14:paraId="7BC94760">
      <w:pPr>
        <w:adjustRightInd w:val="0"/>
        <w:snapToGrid w:val="0"/>
        <w:spacing w:line="400" w:lineRule="exact"/>
        <w:jc w:val="left"/>
        <w:rPr>
          <w:rFonts w:hint="eastAsia" w:ascii="宋体" w:hAnsi="宋体" w:eastAsia="宋体" w:cs="宋体"/>
          <w:b/>
          <w:bCs/>
          <w:color w:val="000000"/>
          <w:sz w:val="24"/>
          <w:szCs w:val="24"/>
        </w:rPr>
      </w:pPr>
      <w:r>
        <w:rPr>
          <w:rFonts w:hint="eastAsia" w:ascii="宋体" w:hAnsi="宋体" w:eastAsia="宋体" w:cs="宋体"/>
          <w:b/>
          <w:bCs/>
          <w:color w:val="000000"/>
          <w:sz w:val="24"/>
          <w:szCs w:val="24"/>
        </w:rPr>
        <w:t>7. 货物包装、运输、保险和交付要求</w:t>
      </w:r>
    </w:p>
    <w:p w14:paraId="49514F84">
      <w:pPr>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7.1 本合同</w:t>
      </w:r>
      <w:r>
        <w:rPr>
          <w:rFonts w:hint="eastAsia" w:ascii="宋体" w:hAnsi="宋体" w:eastAsia="宋体" w:cs="宋体"/>
          <w:bCs/>
          <w:color w:val="000000"/>
          <w:sz w:val="24"/>
          <w:szCs w:val="24"/>
        </w:rPr>
        <w:t>涉及商品包装、快递包装的，</w:t>
      </w:r>
      <w:r>
        <w:rPr>
          <w:rFonts w:hint="eastAsia" w:ascii="宋体" w:hAnsi="宋体" w:eastAsia="宋体" w:cs="宋体"/>
          <w:color w:val="000000"/>
          <w:sz w:val="24"/>
          <w:szCs w:val="24"/>
        </w:rPr>
        <w:t>除</w:t>
      </w:r>
      <w:r>
        <w:rPr>
          <w:rFonts w:hint="eastAsia" w:ascii="宋体" w:hAnsi="宋体" w:eastAsia="宋体" w:cs="宋体"/>
          <w:b/>
          <w:color w:val="000000"/>
          <w:sz w:val="24"/>
          <w:szCs w:val="24"/>
        </w:rPr>
        <w:t>【政府采购合同专用条款】</w:t>
      </w:r>
      <w:r>
        <w:rPr>
          <w:rFonts w:hint="eastAsia" w:ascii="宋体" w:hAnsi="宋体" w:eastAsia="宋体" w:cs="宋体"/>
          <w:bCs/>
          <w:color w:val="000000"/>
          <w:sz w:val="24"/>
          <w:szCs w:val="24"/>
        </w:rPr>
        <w:t>另有约定外，</w:t>
      </w:r>
      <w:r>
        <w:rPr>
          <w:rFonts w:hint="eastAsia" w:ascii="宋体" w:hAnsi="宋体" w:eastAsia="宋体" w:cs="宋体"/>
          <w:color w:val="000000"/>
          <w:sz w:val="24"/>
          <w:szCs w:val="24"/>
        </w:rPr>
        <w:t>包装应适应远距离运输、防潮、防震、防锈和防野蛮装卸等要求，确保货物安全无损地运抵</w:t>
      </w:r>
      <w:r>
        <w:rPr>
          <w:rFonts w:hint="eastAsia" w:ascii="宋体" w:hAnsi="宋体" w:eastAsia="宋体" w:cs="宋体"/>
          <w:b/>
          <w:color w:val="000000"/>
          <w:sz w:val="24"/>
          <w:szCs w:val="24"/>
        </w:rPr>
        <w:t>【政府采购合同专用条款】</w:t>
      </w:r>
      <w:r>
        <w:rPr>
          <w:rFonts w:hint="eastAsia" w:ascii="宋体" w:hAnsi="宋体" w:eastAsia="宋体" w:cs="宋体"/>
          <w:bCs/>
          <w:color w:val="000000"/>
          <w:sz w:val="24"/>
          <w:szCs w:val="24"/>
        </w:rPr>
        <w:t>约定的</w:t>
      </w:r>
      <w:r>
        <w:rPr>
          <w:rFonts w:hint="eastAsia" w:ascii="宋体" w:hAnsi="宋体" w:eastAsia="宋体" w:cs="宋体"/>
          <w:color w:val="000000"/>
          <w:sz w:val="24"/>
          <w:szCs w:val="24"/>
        </w:rPr>
        <w:t>指定现场。</w:t>
      </w:r>
    </w:p>
    <w:p w14:paraId="4270DB1F">
      <w:pPr>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7.2 除</w:t>
      </w:r>
      <w:r>
        <w:rPr>
          <w:rFonts w:hint="eastAsia" w:ascii="宋体" w:hAnsi="宋体" w:eastAsia="宋体" w:cs="宋体"/>
          <w:b/>
          <w:color w:val="000000"/>
          <w:sz w:val="24"/>
          <w:szCs w:val="24"/>
        </w:rPr>
        <w:t>【政府采购合同专用条款】</w:t>
      </w:r>
      <w:r>
        <w:rPr>
          <w:rFonts w:hint="eastAsia" w:ascii="宋体" w:hAnsi="宋体" w:eastAsia="宋体" w:cs="宋体"/>
          <w:bCs/>
          <w:color w:val="000000"/>
          <w:sz w:val="24"/>
          <w:szCs w:val="24"/>
        </w:rPr>
        <w:t>另有约定外，</w:t>
      </w:r>
      <w:r>
        <w:rPr>
          <w:rFonts w:hint="eastAsia" w:ascii="宋体" w:hAnsi="宋体" w:eastAsia="宋体" w:cs="宋体"/>
          <w:color w:val="000000"/>
          <w:sz w:val="24"/>
          <w:szCs w:val="24"/>
        </w:rPr>
        <w:t>乙方负责办理将货物运抵本合同规定的交货地点，并装卸、交付至甲方的一切运输事项，相关费用应包含在合同价款中。</w:t>
      </w:r>
    </w:p>
    <w:p w14:paraId="0EB62C74">
      <w:pPr>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7.3 货物保险要求按</w:t>
      </w:r>
      <w:r>
        <w:rPr>
          <w:rFonts w:hint="eastAsia" w:ascii="宋体" w:hAnsi="宋体" w:eastAsia="宋体" w:cs="宋体"/>
          <w:b/>
          <w:color w:val="000000"/>
          <w:sz w:val="24"/>
          <w:szCs w:val="24"/>
        </w:rPr>
        <w:t>【政府采购合同专用条款】</w:t>
      </w:r>
      <w:r>
        <w:rPr>
          <w:rFonts w:hint="eastAsia" w:ascii="宋体" w:hAnsi="宋体" w:eastAsia="宋体" w:cs="宋体"/>
          <w:bCs/>
          <w:color w:val="000000"/>
          <w:sz w:val="24"/>
          <w:szCs w:val="24"/>
        </w:rPr>
        <w:t>规定执行</w:t>
      </w:r>
      <w:r>
        <w:rPr>
          <w:rFonts w:hint="eastAsia" w:ascii="宋体" w:hAnsi="宋体" w:eastAsia="宋体" w:cs="宋体"/>
          <w:color w:val="000000"/>
          <w:sz w:val="24"/>
          <w:szCs w:val="24"/>
        </w:rPr>
        <w:t>。</w:t>
      </w:r>
    </w:p>
    <w:p w14:paraId="5161EF72">
      <w:pPr>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3F3278AF">
      <w:pPr>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7.5 乙方在运输到达之前应提前通知甲方，并提示货物运输装卸的注意事项，甲方配合乙方做好货物的接收工作。</w:t>
      </w:r>
    </w:p>
    <w:p w14:paraId="4A28DAEB">
      <w:pPr>
        <w:pStyle w:val="167"/>
        <w:ind w:firstLine="420"/>
        <w:rPr>
          <w:rFonts w:hint="eastAsia" w:ascii="宋体" w:hAnsi="宋体" w:eastAsia="宋体" w:cs="宋体"/>
          <w:sz w:val="24"/>
          <w:szCs w:val="24"/>
        </w:rPr>
      </w:pPr>
      <w:r>
        <w:rPr>
          <w:rFonts w:hint="eastAsia" w:ascii="宋体" w:hAnsi="宋体" w:eastAsia="宋体" w:cs="宋体"/>
          <w:color w:val="000000"/>
          <w:kern w:val="2"/>
          <w:sz w:val="24"/>
          <w:szCs w:val="24"/>
        </w:rPr>
        <w:t>7.6 如因包装、运输问题导致货物损毁、丢失或者品质下降，甲方有权要求降价、换货、拒收部分或整批货物，由此产生的费用和损失，均由乙方承担。</w:t>
      </w:r>
    </w:p>
    <w:p w14:paraId="17C542BD">
      <w:pPr>
        <w:adjustRightInd w:val="0"/>
        <w:snapToGrid w:val="0"/>
        <w:spacing w:line="400" w:lineRule="exact"/>
        <w:jc w:val="left"/>
        <w:rPr>
          <w:rFonts w:hint="eastAsia" w:ascii="宋体" w:hAnsi="宋体" w:eastAsia="宋体" w:cs="宋体"/>
          <w:b/>
          <w:sz w:val="24"/>
          <w:szCs w:val="24"/>
        </w:rPr>
      </w:pPr>
      <w:r>
        <w:rPr>
          <w:rFonts w:hint="eastAsia" w:ascii="宋体" w:hAnsi="宋体" w:eastAsia="宋体" w:cs="宋体"/>
          <w:b/>
          <w:color w:val="000000"/>
          <w:sz w:val="24"/>
          <w:szCs w:val="24"/>
        </w:rPr>
        <w:t xml:space="preserve">8. </w:t>
      </w:r>
      <w:r>
        <w:rPr>
          <w:rFonts w:hint="eastAsia" w:ascii="宋体" w:hAnsi="宋体" w:eastAsia="宋体" w:cs="宋体"/>
          <w:b/>
          <w:sz w:val="24"/>
          <w:szCs w:val="24"/>
        </w:rPr>
        <w:t>质量标准和保证</w:t>
      </w:r>
    </w:p>
    <w:p w14:paraId="3635ECA4">
      <w:pPr>
        <w:pStyle w:val="12"/>
        <w:adjustRightInd w:val="0"/>
        <w:snapToGrid w:val="0"/>
        <w:spacing w:line="400" w:lineRule="exact"/>
        <w:ind w:firstLine="480" w:firstLineChars="200"/>
        <w:jc w:val="left"/>
        <w:rPr>
          <w:rFonts w:hint="eastAsia" w:ascii="宋体" w:hAnsi="宋体" w:eastAsia="宋体" w:cs="宋体"/>
          <w:b/>
          <w:sz w:val="24"/>
          <w:szCs w:val="24"/>
        </w:rPr>
      </w:pPr>
      <w:r>
        <w:rPr>
          <w:rFonts w:hint="eastAsia" w:ascii="宋体" w:hAnsi="宋体" w:eastAsia="宋体" w:cs="宋体"/>
          <w:sz w:val="24"/>
          <w:szCs w:val="24"/>
        </w:rPr>
        <w:t>8.1 质量标准</w:t>
      </w:r>
    </w:p>
    <w:p w14:paraId="179E9C6E">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（1）本合同下提供的货物应符合合同</w:t>
      </w:r>
      <w:r>
        <w:rPr>
          <w:rFonts w:hint="eastAsia" w:ascii="宋体" w:hAnsi="宋体" w:eastAsia="宋体" w:cs="宋体"/>
          <w:color w:val="000000"/>
          <w:sz w:val="24"/>
          <w:szCs w:val="24"/>
        </w:rPr>
        <w:t>约定的</w:t>
      </w:r>
      <w:r>
        <w:rPr>
          <w:rFonts w:hint="eastAsia" w:ascii="宋体" w:hAnsi="宋体" w:eastAsia="宋体" w:cs="宋体"/>
          <w:sz w:val="24"/>
          <w:szCs w:val="24"/>
        </w:rPr>
        <w:t>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7D77A002">
      <w:pPr>
        <w:pStyle w:val="12"/>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（2）采用中华人民共和国法定计量单位。</w:t>
      </w:r>
    </w:p>
    <w:p w14:paraId="5802FC43">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（3）乙方所提供的货物应符合国家有关安全、环保、卫生的规定。</w:t>
      </w:r>
    </w:p>
    <w:p w14:paraId="26EB5164">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（4）乙方应向甲方提交所提供货物的技术文件，包括相应的中文技术文件，如：产品目录、图纸、操作手册、使用说明、维护手册或服务指南等。上述文件应包装好随货物一同发运。</w:t>
      </w:r>
    </w:p>
    <w:p w14:paraId="5A808C0B">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8.2 保证</w:t>
      </w:r>
    </w:p>
    <w:p w14:paraId="232CA274">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sz w:val="24"/>
          <w:szCs w:val="24"/>
        </w:rPr>
        <w:t>【政府采购合同专用条款】</w:t>
      </w:r>
      <w:r>
        <w:rPr>
          <w:rFonts w:hint="eastAsia" w:ascii="宋体" w:hAnsi="宋体" w:eastAsia="宋体" w:cs="宋体"/>
          <w:sz w:val="24"/>
          <w:szCs w:val="24"/>
        </w:rPr>
        <w:t>规定或乙方书面承诺（两者以较长的为准）的质量保证期内，本保证保持有效。</w:t>
      </w:r>
    </w:p>
    <w:p w14:paraId="511F2507">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（2）在质量保证期内所发现的缺陷，甲方应尽快以书面形式通知乙方。</w:t>
      </w:r>
    </w:p>
    <w:p w14:paraId="33F903E0">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（3）乙方收到通知后，应在</w:t>
      </w:r>
      <w:r>
        <w:rPr>
          <w:rFonts w:hint="eastAsia" w:ascii="宋体" w:hAnsi="宋体" w:eastAsia="宋体" w:cs="宋体"/>
          <w:b/>
          <w:sz w:val="24"/>
          <w:szCs w:val="24"/>
        </w:rPr>
        <w:t>【政府采购合同专用条款】</w:t>
      </w:r>
      <w:r>
        <w:rPr>
          <w:rFonts w:hint="eastAsia" w:ascii="宋体" w:hAnsi="宋体" w:eastAsia="宋体" w:cs="宋体"/>
          <w:sz w:val="24"/>
          <w:szCs w:val="24"/>
        </w:rPr>
        <w:t>规定的响应时间内以合理的速度免费维修或更换有缺陷的货物或部件。</w:t>
      </w:r>
    </w:p>
    <w:p w14:paraId="1D294D3A">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000000"/>
          <w:sz w:val="24"/>
          <w:szCs w:val="24"/>
        </w:rPr>
        <w:t>5</w:t>
      </w:r>
      <w:r>
        <w:rPr>
          <w:rFonts w:hint="eastAsia" w:ascii="宋体" w:hAnsi="宋体" w:eastAsia="宋体" w:cs="宋体"/>
          <w:sz w:val="24"/>
          <w:szCs w:val="24"/>
        </w:rPr>
        <w:t>.1条规定以书面形式</w:t>
      </w:r>
      <w:r>
        <w:rPr>
          <w:rFonts w:hint="eastAsia" w:ascii="宋体" w:hAnsi="宋体" w:eastAsia="宋体" w:cs="宋体"/>
          <w:color w:val="000000"/>
          <w:sz w:val="24"/>
          <w:szCs w:val="24"/>
        </w:rPr>
        <w:t>追究</w:t>
      </w:r>
      <w:r>
        <w:rPr>
          <w:rFonts w:hint="eastAsia" w:ascii="宋体" w:hAnsi="宋体" w:eastAsia="宋体" w:cs="宋体"/>
          <w:sz w:val="24"/>
          <w:szCs w:val="24"/>
        </w:rPr>
        <w:t>乙方</w:t>
      </w:r>
      <w:r>
        <w:rPr>
          <w:rFonts w:hint="eastAsia" w:ascii="宋体" w:hAnsi="宋体" w:eastAsia="宋体" w:cs="宋体"/>
          <w:color w:val="000000"/>
          <w:sz w:val="24"/>
          <w:szCs w:val="24"/>
        </w:rPr>
        <w:t>的违约责任</w:t>
      </w:r>
      <w:r>
        <w:rPr>
          <w:rFonts w:hint="eastAsia" w:ascii="宋体" w:hAnsi="宋体" w:eastAsia="宋体" w:cs="宋体"/>
          <w:sz w:val="24"/>
          <w:szCs w:val="24"/>
        </w:rPr>
        <w:t>。</w:t>
      </w:r>
    </w:p>
    <w:p w14:paraId="49E7FF7A">
      <w:pPr>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（5）乙方在约定的时间内未能弥补缺陷，甲方可采取必要的补救措施，但其风险和费用将由乙方承担，甲方根据合同约定对乙方行使的其他权利不受影响。</w:t>
      </w:r>
    </w:p>
    <w:p w14:paraId="0F4DFBEB">
      <w:pPr>
        <w:adjustRightInd w:val="0"/>
        <w:snapToGrid w:val="0"/>
        <w:spacing w:line="400" w:lineRule="exact"/>
        <w:jc w:val="left"/>
        <w:rPr>
          <w:rFonts w:hint="eastAsia" w:ascii="宋体" w:hAnsi="宋体" w:eastAsia="宋体" w:cs="宋体"/>
          <w:b/>
          <w:bCs/>
          <w:sz w:val="24"/>
          <w:szCs w:val="24"/>
        </w:rPr>
      </w:pPr>
      <w:r>
        <w:rPr>
          <w:rFonts w:hint="eastAsia" w:ascii="宋体" w:hAnsi="宋体" w:eastAsia="宋体" w:cs="宋体"/>
          <w:b/>
          <w:bCs/>
          <w:color w:val="000000"/>
          <w:sz w:val="24"/>
          <w:szCs w:val="24"/>
        </w:rPr>
        <w:t>9</w:t>
      </w:r>
      <w:r>
        <w:rPr>
          <w:rFonts w:hint="eastAsia" w:ascii="宋体" w:hAnsi="宋体" w:eastAsia="宋体" w:cs="宋体"/>
          <w:b/>
          <w:bCs/>
          <w:sz w:val="24"/>
          <w:szCs w:val="24"/>
        </w:rPr>
        <w:t>.</w:t>
      </w:r>
      <w:r>
        <w:rPr>
          <w:rFonts w:hint="eastAsia" w:ascii="宋体" w:hAnsi="宋体" w:eastAsia="宋体" w:cs="宋体"/>
          <w:b/>
          <w:bCs/>
          <w:color w:val="000000"/>
          <w:sz w:val="24"/>
          <w:szCs w:val="24"/>
        </w:rPr>
        <w:t xml:space="preserve"> </w:t>
      </w:r>
      <w:r>
        <w:rPr>
          <w:rFonts w:hint="eastAsia" w:ascii="宋体" w:hAnsi="宋体" w:eastAsia="宋体" w:cs="宋体"/>
          <w:b/>
          <w:bCs/>
          <w:sz w:val="24"/>
          <w:szCs w:val="24"/>
        </w:rPr>
        <w:t>权利瑕疵担保</w:t>
      </w:r>
    </w:p>
    <w:p w14:paraId="4AF7F0A4">
      <w:pPr>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9.1 乙方保证对其出售的货物享有合法的权利。</w:t>
      </w:r>
    </w:p>
    <w:p w14:paraId="259C0E16">
      <w:pPr>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9.2 </w:t>
      </w:r>
      <w:r>
        <w:rPr>
          <w:rFonts w:hint="eastAsia" w:ascii="宋体" w:hAnsi="宋体" w:eastAsia="宋体" w:cs="宋体"/>
          <w:sz w:val="24"/>
          <w:szCs w:val="24"/>
        </w:rPr>
        <w:t>乙方保证在交付的货物上不存在抵押权等担保物权。</w:t>
      </w:r>
    </w:p>
    <w:p w14:paraId="14C9F12A">
      <w:pPr>
        <w:autoSpaceDE w:val="0"/>
        <w:autoSpaceDN w:val="0"/>
        <w:adjustRightInd w:val="0"/>
        <w:snapToGrid w:val="0"/>
        <w:spacing w:line="4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9.3 如甲方使用上述货物构成对第三人侵权的，则由乙方承担全部责任。</w:t>
      </w:r>
    </w:p>
    <w:p w14:paraId="6913EEDE">
      <w:pPr>
        <w:autoSpaceDE w:val="0"/>
        <w:autoSpaceDN w:val="0"/>
        <w:adjustRightInd w:val="0"/>
        <w:snapToGrid w:val="0"/>
        <w:spacing w:line="400" w:lineRule="exact"/>
        <w:jc w:val="left"/>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10. 知识产权保护</w:t>
      </w:r>
    </w:p>
    <w:p w14:paraId="23E4090A">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color w:val="000000"/>
          <w:sz w:val="24"/>
          <w:szCs w:val="24"/>
        </w:rPr>
        <w:t>10.1 乙方对其所销售的货物应当享有知识产权或经权利人合法授权，保证没有侵犯任</w:t>
      </w:r>
      <w:r>
        <w:rPr>
          <w:rFonts w:hint="eastAsia" w:ascii="宋体" w:hAnsi="宋体" w:eastAsia="宋体" w:cs="宋体"/>
          <w:sz w:val="24"/>
          <w:szCs w:val="24"/>
        </w:rPr>
        <w:t>何第三人的知识产权等权利。</w:t>
      </w:r>
      <w:bookmarkStart w:id="122" w:name="_Hlk163047038"/>
      <w:r>
        <w:rPr>
          <w:rFonts w:hint="eastAsia" w:ascii="宋体" w:hAnsi="宋体" w:eastAsia="宋体" w:cs="宋体"/>
          <w:sz w:val="24"/>
          <w:szCs w:val="24"/>
        </w:rPr>
        <w:t>因违反前述约定对第三人构成侵权的，应当由乙方向第三人承担法律责任；甲方依法向第三人赔偿后，有权向乙方追偿。甲方有其他损失的，乙方应当赔偿</w:t>
      </w:r>
      <w:bookmarkEnd w:id="122"/>
      <w:r>
        <w:rPr>
          <w:rFonts w:hint="eastAsia" w:ascii="宋体" w:hAnsi="宋体" w:eastAsia="宋体" w:cs="宋体"/>
          <w:sz w:val="24"/>
          <w:szCs w:val="24"/>
        </w:rPr>
        <w:t>。</w:t>
      </w:r>
    </w:p>
    <w:p w14:paraId="2ECF89F3">
      <w:pPr>
        <w:autoSpaceDE w:val="0"/>
        <w:autoSpaceDN w:val="0"/>
        <w:adjustRightInd w:val="0"/>
        <w:snapToGrid w:val="0"/>
        <w:spacing w:line="400" w:lineRule="exact"/>
        <w:jc w:val="left"/>
        <w:rPr>
          <w:rFonts w:hint="eastAsia" w:ascii="宋体" w:hAnsi="宋体" w:eastAsia="宋体" w:cs="宋体"/>
          <w:b/>
          <w:bCs/>
          <w:sz w:val="24"/>
          <w:szCs w:val="24"/>
        </w:rPr>
      </w:pPr>
      <w:r>
        <w:rPr>
          <w:rFonts w:hint="eastAsia" w:ascii="宋体" w:hAnsi="宋体" w:eastAsia="宋体" w:cs="宋体"/>
          <w:b/>
          <w:bCs/>
          <w:sz w:val="24"/>
          <w:szCs w:val="24"/>
        </w:rPr>
        <w:t>11. 保密义务</w:t>
      </w:r>
    </w:p>
    <w:p w14:paraId="71F895B5">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sz w:val="24"/>
          <w:szCs w:val="24"/>
        </w:rPr>
        <w:t>【政府采购合同专用条款】</w:t>
      </w:r>
      <w:r>
        <w:rPr>
          <w:rFonts w:hint="eastAsia" w:ascii="宋体" w:hAnsi="宋体" w:eastAsia="宋体" w:cs="宋体"/>
          <w:sz w:val="24"/>
          <w:szCs w:val="24"/>
        </w:rPr>
        <w:t>中约定。</w:t>
      </w:r>
    </w:p>
    <w:p w14:paraId="00931D6F">
      <w:pPr>
        <w:autoSpaceDE w:val="0"/>
        <w:autoSpaceDN w:val="0"/>
        <w:adjustRightInd w:val="0"/>
        <w:snapToGrid w:val="0"/>
        <w:spacing w:line="400" w:lineRule="exact"/>
        <w:jc w:val="left"/>
        <w:rPr>
          <w:rFonts w:hint="eastAsia" w:ascii="宋体" w:hAnsi="宋体" w:eastAsia="宋体" w:cs="宋体"/>
          <w:b/>
          <w:bCs/>
          <w:sz w:val="24"/>
          <w:szCs w:val="24"/>
        </w:rPr>
      </w:pPr>
      <w:r>
        <w:rPr>
          <w:rFonts w:hint="eastAsia" w:ascii="宋体" w:hAnsi="宋体" w:eastAsia="宋体" w:cs="宋体"/>
          <w:b/>
          <w:bCs/>
          <w:sz w:val="24"/>
          <w:szCs w:val="24"/>
        </w:rPr>
        <w:t>12. 合同价款支付</w:t>
      </w:r>
    </w:p>
    <w:p w14:paraId="68B0B8D9">
      <w:pPr>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12.1 合同价款支付按照国库集中支付制度及财政管理相关规定执行。</w:t>
      </w:r>
    </w:p>
    <w:p w14:paraId="468A1422">
      <w:pPr>
        <w:pStyle w:val="3"/>
        <w:spacing w:line="400" w:lineRule="exact"/>
        <w:ind w:firstLine="480" w:firstLineChars="200"/>
        <w:rPr>
          <w:rFonts w:hint="eastAsia" w:ascii="宋体" w:hAnsi="宋体" w:eastAsia="宋体" w:cs="宋体"/>
          <w:sz w:val="24"/>
          <w:szCs w:val="24"/>
        </w:rPr>
      </w:pPr>
      <w:r>
        <w:rPr>
          <w:rFonts w:hint="eastAsia" w:ascii="宋体" w:hAnsi="宋体" w:eastAsia="宋体" w:cs="宋体"/>
          <w:b w:val="0"/>
          <w:bCs w:val="0"/>
          <w:sz w:val="24"/>
          <w:szCs w:val="24"/>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sz w:val="24"/>
          <w:szCs w:val="24"/>
        </w:rPr>
        <w:t>政府采购合同专用条款</w:t>
      </w:r>
      <w:r>
        <w:rPr>
          <w:rFonts w:hint="eastAsia" w:ascii="宋体" w:hAnsi="宋体" w:eastAsia="宋体" w:cs="宋体"/>
          <w:b w:val="0"/>
          <w:bCs w:val="0"/>
          <w:sz w:val="24"/>
          <w:szCs w:val="24"/>
        </w:rPr>
        <w:t>】中约定。</w:t>
      </w:r>
    </w:p>
    <w:p w14:paraId="6ED8749B">
      <w:pPr>
        <w:pStyle w:val="8"/>
        <w:spacing w:line="400" w:lineRule="exact"/>
        <w:rPr>
          <w:rFonts w:hint="eastAsia" w:ascii="宋体" w:hAnsi="宋体" w:eastAsia="宋体" w:cs="宋体"/>
          <w:b/>
          <w:bCs/>
          <w:sz w:val="24"/>
          <w:szCs w:val="24"/>
        </w:rPr>
      </w:pPr>
      <w:r>
        <w:rPr>
          <w:rFonts w:hint="eastAsia" w:ascii="宋体" w:hAnsi="宋体" w:eastAsia="宋体" w:cs="宋体"/>
          <w:b/>
          <w:bCs/>
          <w:sz w:val="24"/>
          <w:szCs w:val="24"/>
        </w:rPr>
        <w:t>13. 履约保证金</w:t>
      </w:r>
    </w:p>
    <w:p w14:paraId="3FBB1854">
      <w:pPr>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13.1 乙方应当以支票、汇票、本票或者金融机构、担保机构出具的保函等非现金形式提交。</w:t>
      </w:r>
    </w:p>
    <w:p w14:paraId="376C4D6E">
      <w:pPr>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13.2 如果乙方出现</w:t>
      </w:r>
      <w:r>
        <w:rPr>
          <w:rFonts w:hint="eastAsia" w:ascii="宋体" w:hAnsi="宋体" w:eastAsia="宋体" w:cs="宋体"/>
          <w:b/>
          <w:bCs/>
          <w:sz w:val="24"/>
          <w:szCs w:val="24"/>
        </w:rPr>
        <w:t>【政府采购合同专用条款】</w:t>
      </w:r>
      <w:r>
        <w:rPr>
          <w:rFonts w:hint="eastAsia" w:ascii="宋体" w:hAnsi="宋体" w:eastAsia="宋体" w:cs="宋体"/>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14:paraId="2DE9F33B">
      <w:pPr>
        <w:spacing w:line="400" w:lineRule="exact"/>
        <w:ind w:firstLine="420"/>
        <w:rPr>
          <w:rFonts w:hint="eastAsia" w:ascii="宋体" w:hAnsi="宋体" w:eastAsia="宋体" w:cs="宋体"/>
          <w:sz w:val="24"/>
          <w:szCs w:val="24"/>
        </w:rPr>
      </w:pPr>
      <w:r>
        <w:rPr>
          <w:rFonts w:hint="eastAsia" w:ascii="宋体" w:hAnsi="宋体" w:eastAsia="宋体" w:cs="宋体"/>
          <w:sz w:val="24"/>
          <w:szCs w:val="24"/>
        </w:rPr>
        <w:t>13.3 甲方在项目通过验收后按照</w:t>
      </w:r>
      <w:r>
        <w:rPr>
          <w:rFonts w:hint="eastAsia" w:ascii="宋体" w:hAnsi="宋体" w:eastAsia="宋体" w:cs="宋体"/>
          <w:b/>
          <w:sz w:val="24"/>
          <w:szCs w:val="24"/>
        </w:rPr>
        <w:t>【政府采购合同专用条款】</w:t>
      </w:r>
      <w:r>
        <w:rPr>
          <w:rFonts w:hint="eastAsia" w:ascii="宋体" w:hAnsi="宋体" w:eastAsia="宋体" w:cs="宋体"/>
          <w:sz w:val="24"/>
          <w:szCs w:val="24"/>
        </w:rPr>
        <w:t>规定的时间内将履约保证金退还乙方；逾期退还的，乙方可要求甲方支付违约金，违约金按照</w:t>
      </w:r>
      <w:r>
        <w:rPr>
          <w:rFonts w:hint="eastAsia" w:ascii="宋体" w:hAnsi="宋体" w:eastAsia="宋体" w:cs="宋体"/>
          <w:b/>
          <w:sz w:val="24"/>
          <w:szCs w:val="24"/>
        </w:rPr>
        <w:t>【政府采购合同专用条款】</w:t>
      </w:r>
      <w:r>
        <w:rPr>
          <w:rFonts w:hint="eastAsia" w:ascii="宋体" w:hAnsi="宋体" w:eastAsia="宋体" w:cs="宋体"/>
          <w:sz w:val="24"/>
          <w:szCs w:val="24"/>
        </w:rPr>
        <w:t>规定支付。</w:t>
      </w:r>
    </w:p>
    <w:p w14:paraId="2A3C1AE0">
      <w:pPr>
        <w:autoSpaceDE w:val="0"/>
        <w:autoSpaceDN w:val="0"/>
        <w:adjustRightInd w:val="0"/>
        <w:snapToGrid w:val="0"/>
        <w:spacing w:line="400" w:lineRule="exact"/>
        <w:jc w:val="left"/>
        <w:rPr>
          <w:rFonts w:hint="eastAsia" w:ascii="宋体" w:hAnsi="宋体" w:eastAsia="宋体" w:cs="宋体"/>
          <w:b/>
          <w:sz w:val="24"/>
          <w:szCs w:val="24"/>
        </w:rPr>
      </w:pPr>
      <w:r>
        <w:rPr>
          <w:rFonts w:hint="eastAsia" w:ascii="宋体" w:hAnsi="宋体" w:eastAsia="宋体" w:cs="宋体"/>
          <w:b/>
          <w:bCs/>
          <w:sz w:val="24"/>
          <w:szCs w:val="24"/>
        </w:rPr>
        <w:t xml:space="preserve">14. </w:t>
      </w:r>
      <w:r>
        <w:rPr>
          <w:rFonts w:hint="eastAsia" w:ascii="宋体" w:hAnsi="宋体" w:eastAsia="宋体" w:cs="宋体"/>
          <w:b/>
          <w:sz w:val="24"/>
          <w:szCs w:val="24"/>
        </w:rPr>
        <w:t>售后服务</w:t>
      </w:r>
    </w:p>
    <w:p w14:paraId="31BD6A58">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14.1 除项目不涉及或采购活动中明确约定无须承担外，乙方还应提供下列服务：</w:t>
      </w:r>
    </w:p>
    <w:p w14:paraId="5B2F363A">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（1）货物的现场移动、安装、调试、启动监督及技术支持；</w:t>
      </w:r>
    </w:p>
    <w:p w14:paraId="2F4F942D">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（2）提供货物组装和维修所需的专用工具和辅助材料；</w:t>
      </w:r>
    </w:p>
    <w:p w14:paraId="5BF70EA0">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（3）在</w:t>
      </w:r>
      <w:r>
        <w:rPr>
          <w:rFonts w:hint="eastAsia" w:ascii="宋体" w:hAnsi="宋体" w:eastAsia="宋体" w:cs="宋体"/>
          <w:b/>
          <w:bCs/>
          <w:sz w:val="24"/>
          <w:szCs w:val="24"/>
        </w:rPr>
        <w:t>【政府采购合同专用条款】</w:t>
      </w:r>
      <w:r>
        <w:rPr>
          <w:rFonts w:hint="eastAsia" w:ascii="宋体" w:hAnsi="宋体" w:eastAsia="宋体" w:cs="宋体"/>
          <w:sz w:val="24"/>
          <w:szCs w:val="24"/>
        </w:rPr>
        <w:t>约定的期限内对所有的货物实施运行监督、维修，但前提条件是该服务并不能免除乙方在质量保证期内所承担的义务；</w:t>
      </w:r>
    </w:p>
    <w:p w14:paraId="7E0B721F">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（4）在制造商所在地或指定现场就货物的安装、启动、运营、维护、废弃处置等对甲方操作人员进行培训；</w:t>
      </w:r>
    </w:p>
    <w:p w14:paraId="33E46423">
      <w:pPr>
        <w:pStyle w:val="167"/>
        <w:ind w:firstLine="420"/>
        <w:rPr>
          <w:rFonts w:hint="eastAsia" w:ascii="宋体" w:hAnsi="宋体" w:eastAsia="宋体" w:cs="宋体"/>
          <w:sz w:val="24"/>
          <w:szCs w:val="24"/>
        </w:rPr>
      </w:pPr>
      <w:r>
        <w:rPr>
          <w:rFonts w:hint="eastAsia" w:ascii="宋体" w:hAnsi="宋体" w:eastAsia="宋体" w:cs="宋体"/>
          <w:sz w:val="24"/>
          <w:szCs w:val="24"/>
        </w:rPr>
        <w:t>（5）依照法律、行政法规的规定或者按照</w:t>
      </w:r>
      <w:r>
        <w:rPr>
          <w:rFonts w:hint="eastAsia" w:ascii="宋体" w:hAnsi="宋体" w:eastAsia="宋体" w:cs="宋体"/>
          <w:b/>
          <w:bCs/>
          <w:sz w:val="24"/>
          <w:szCs w:val="24"/>
        </w:rPr>
        <w:t>【政府采购合同专用条款】</w:t>
      </w:r>
      <w:r>
        <w:rPr>
          <w:rFonts w:hint="eastAsia" w:ascii="宋体" w:hAnsi="宋体" w:eastAsia="宋体" w:cs="宋体"/>
          <w:sz w:val="24"/>
          <w:szCs w:val="24"/>
        </w:rPr>
        <w:t>约定，货物在有效使用年限届满后应予回收的，乙方负有自行或者委托第三人对货物予以回收的义务；</w:t>
      </w:r>
    </w:p>
    <w:p w14:paraId="410E8B0A">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b/>
          <w:sz w:val="24"/>
          <w:szCs w:val="24"/>
        </w:rPr>
        <w:t>【政府采购合同专用条款】</w:t>
      </w:r>
      <w:r>
        <w:rPr>
          <w:rFonts w:hint="eastAsia" w:ascii="宋体" w:hAnsi="宋体" w:eastAsia="宋体" w:cs="宋体"/>
          <w:sz w:val="24"/>
          <w:szCs w:val="24"/>
        </w:rPr>
        <w:t>规定由乙方提供的其他服务。</w:t>
      </w:r>
    </w:p>
    <w:p w14:paraId="7E14DA6B">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14.2 乙方提供的售后服务的费用已包含在合同价款中，甲方不再另行支付。</w:t>
      </w:r>
    </w:p>
    <w:p w14:paraId="7F74BC5A">
      <w:pPr>
        <w:adjustRightInd w:val="0"/>
        <w:snapToGrid w:val="0"/>
        <w:spacing w:line="400" w:lineRule="exact"/>
        <w:jc w:val="left"/>
        <w:rPr>
          <w:rFonts w:hint="eastAsia" w:ascii="宋体" w:hAnsi="宋体" w:eastAsia="宋体" w:cs="宋体"/>
          <w:b/>
          <w:bCs/>
          <w:sz w:val="24"/>
          <w:szCs w:val="24"/>
        </w:rPr>
      </w:pPr>
      <w:r>
        <w:rPr>
          <w:rFonts w:hint="eastAsia" w:ascii="宋体" w:hAnsi="宋体" w:eastAsia="宋体" w:cs="宋体"/>
          <w:b/>
          <w:bCs/>
          <w:sz w:val="24"/>
          <w:szCs w:val="24"/>
        </w:rPr>
        <w:t>15. 违约责任</w:t>
      </w:r>
    </w:p>
    <w:p w14:paraId="09BAA1E6">
      <w:pPr>
        <w:adjustRightInd w:val="0"/>
        <w:snapToGrid w:val="0"/>
        <w:spacing w:line="400" w:lineRule="exact"/>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15.1质量瑕疵的违约责任</w:t>
      </w:r>
    </w:p>
    <w:p w14:paraId="730F33DD">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乙方提供的产品不符合合同约定的质量标准或存在产品质量缺陷，甲方有权要求乙方根据</w:t>
      </w:r>
      <w:r>
        <w:rPr>
          <w:rFonts w:hint="eastAsia" w:ascii="宋体" w:hAnsi="宋体" w:eastAsia="宋体" w:cs="宋体"/>
          <w:b/>
          <w:sz w:val="24"/>
          <w:szCs w:val="24"/>
        </w:rPr>
        <w:t>【政府采购合同专用条款】</w:t>
      </w:r>
      <w:r>
        <w:rPr>
          <w:rFonts w:hint="eastAsia" w:ascii="宋体" w:hAnsi="宋体" w:eastAsia="宋体" w:cs="宋体"/>
          <w:bCs/>
          <w:sz w:val="24"/>
          <w:szCs w:val="24"/>
        </w:rPr>
        <w:t>要求</w:t>
      </w:r>
      <w:r>
        <w:rPr>
          <w:rFonts w:hint="eastAsia" w:ascii="宋体" w:hAnsi="宋体" w:eastAsia="宋体" w:cs="宋体"/>
          <w:sz w:val="24"/>
          <w:szCs w:val="24"/>
        </w:rPr>
        <w:t>及时修理、重作、更换，并承担由此给甲方造成的损失。</w:t>
      </w:r>
    </w:p>
    <w:p w14:paraId="55282D6B">
      <w:pPr>
        <w:autoSpaceDE w:val="0"/>
        <w:autoSpaceDN w:val="0"/>
        <w:adjustRightInd w:val="0"/>
        <w:snapToGrid w:val="0"/>
        <w:spacing w:line="400" w:lineRule="exact"/>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15.2 迟延交货的违约责任</w:t>
      </w:r>
    </w:p>
    <w:p w14:paraId="290E9A08">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06D916E4">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（2）如果乙方没有按照合同规定的时间交货和提供相关服务，甲方有权从货款中扣除误期赔偿费而不影响合同项下的其他补救方法，赔偿费按</w:t>
      </w:r>
      <w:r>
        <w:rPr>
          <w:rFonts w:hint="eastAsia" w:ascii="宋体" w:hAnsi="宋体" w:eastAsia="宋体" w:cs="宋体"/>
          <w:b/>
          <w:sz w:val="24"/>
          <w:szCs w:val="24"/>
        </w:rPr>
        <w:t>【政府采购合同专用条款】</w:t>
      </w:r>
      <w:r>
        <w:rPr>
          <w:rFonts w:hint="eastAsia" w:ascii="宋体" w:hAnsi="宋体" w:eastAsia="宋体" w:cs="宋体"/>
          <w:sz w:val="24"/>
          <w:szCs w:val="24"/>
        </w:rPr>
        <w:t>规定执行。如果涉及公共利益，且赔偿金额无法弥补公共利益损失，甲方可要求继续履行或者采取其他补救措施。</w:t>
      </w:r>
    </w:p>
    <w:p w14:paraId="09CF6442">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15.3 迟延支付的违约责任</w:t>
      </w:r>
    </w:p>
    <w:p w14:paraId="34D7FB36">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甲方存在迟延支付乙方合同款项的，应当承担</w:t>
      </w:r>
      <w:r>
        <w:rPr>
          <w:rFonts w:hint="eastAsia" w:ascii="宋体" w:hAnsi="宋体" w:eastAsia="宋体" w:cs="宋体"/>
          <w:b/>
          <w:bCs/>
          <w:sz w:val="24"/>
          <w:szCs w:val="24"/>
        </w:rPr>
        <w:t>【政府采购合同专用条款】</w:t>
      </w:r>
      <w:r>
        <w:rPr>
          <w:rFonts w:hint="eastAsia" w:ascii="宋体" w:hAnsi="宋体" w:eastAsia="宋体" w:cs="宋体"/>
          <w:sz w:val="24"/>
          <w:szCs w:val="24"/>
        </w:rPr>
        <w:t>规定的逾期付款利息。</w:t>
      </w:r>
    </w:p>
    <w:p w14:paraId="488634C2">
      <w:pPr>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bCs/>
          <w:sz w:val="24"/>
          <w:szCs w:val="24"/>
        </w:rPr>
        <w:t>15.4其他违约责任根据项目实际需要按</w:t>
      </w:r>
      <w:r>
        <w:rPr>
          <w:rFonts w:hint="eastAsia" w:ascii="宋体" w:hAnsi="宋体" w:eastAsia="宋体" w:cs="宋体"/>
          <w:b/>
          <w:bCs/>
          <w:sz w:val="24"/>
          <w:szCs w:val="24"/>
        </w:rPr>
        <w:t>【政府采购合同专用条款】</w:t>
      </w:r>
      <w:r>
        <w:rPr>
          <w:rFonts w:hint="eastAsia" w:ascii="宋体" w:hAnsi="宋体" w:eastAsia="宋体" w:cs="宋体"/>
          <w:sz w:val="24"/>
          <w:szCs w:val="24"/>
        </w:rPr>
        <w:t>规定执行。</w:t>
      </w:r>
    </w:p>
    <w:p w14:paraId="74836DEE">
      <w:pPr>
        <w:numPr>
          <w:ilvl w:val="0"/>
          <w:numId w:val="9"/>
        </w:numPr>
        <w:autoSpaceDE w:val="0"/>
        <w:autoSpaceDN w:val="0"/>
        <w:adjustRightInd w:val="0"/>
        <w:snapToGrid w:val="0"/>
        <w:spacing w:line="400" w:lineRule="exact"/>
        <w:jc w:val="left"/>
        <w:rPr>
          <w:rFonts w:hint="eastAsia" w:ascii="宋体" w:hAnsi="宋体" w:eastAsia="宋体" w:cs="宋体"/>
          <w:b/>
          <w:sz w:val="24"/>
          <w:szCs w:val="24"/>
        </w:rPr>
      </w:pPr>
      <w:r>
        <w:rPr>
          <w:rFonts w:hint="eastAsia" w:ascii="宋体" w:hAnsi="宋体" w:eastAsia="宋体" w:cs="宋体"/>
          <w:b/>
          <w:sz w:val="24"/>
          <w:szCs w:val="24"/>
        </w:rPr>
        <w:t>合同变更、中止与终止</w:t>
      </w:r>
    </w:p>
    <w:p w14:paraId="0288C928">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rPr>
        <w:t xml:space="preserve">    16.1合同的变更</w:t>
      </w:r>
    </w:p>
    <w:p w14:paraId="299551B4">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政府采购合同履行中，在不改变合同其他条款的前提下，甲方可以在合同价款10%的范围内追加与合同标的相同的货物，并就此与乙方协商一致后签订补充协议。</w:t>
      </w:r>
    </w:p>
    <w:p w14:paraId="4B16840A">
      <w:pPr>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16.2合同的中止</w:t>
      </w:r>
    </w:p>
    <w:p w14:paraId="497F17EB">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（1）合同履行过程中因供应商就采购文件、采购过程或结果提起投诉的，甲方认为有必要的，可以中止合同的履行。</w:t>
      </w:r>
    </w:p>
    <w:p w14:paraId="795D5643">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53B9FC31">
      <w:pPr>
        <w:pStyle w:val="167"/>
        <w:ind w:firstLine="420"/>
        <w:jc w:val="both"/>
        <w:rPr>
          <w:rFonts w:hint="eastAsia" w:ascii="宋体" w:hAnsi="宋体" w:eastAsia="宋体" w:cs="宋体"/>
          <w:sz w:val="24"/>
          <w:szCs w:val="24"/>
        </w:rPr>
      </w:pPr>
      <w:r>
        <w:rPr>
          <w:rFonts w:hint="eastAsia" w:ascii="宋体" w:hAnsi="宋体" w:eastAsia="宋体" w:cs="宋体"/>
          <w:sz w:val="24"/>
          <w:szCs w:val="24"/>
        </w:rPr>
        <w:t>（3）乙方分立、合并或者变更住所的，应当及时以书面形式告知甲方。乙方没有及时告知甲方，致使合同履行发生困难的，甲方可以中止合同履行并要求乙方承担由此给甲方造成的损失。</w:t>
      </w:r>
    </w:p>
    <w:p w14:paraId="1D1C49F9">
      <w:pPr>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（4）甲方不得以行政区划调整、政府换届、机构或者职能调整以及相关责任人更替为由中止合同。</w:t>
      </w:r>
    </w:p>
    <w:p w14:paraId="57EFB464">
      <w:pPr>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16.3合同的终止</w:t>
      </w:r>
    </w:p>
    <w:p w14:paraId="39973A17">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（1）合同因有效期限届满而终止；</w:t>
      </w:r>
    </w:p>
    <w:p w14:paraId="597E2AAE">
      <w:pPr>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（2）乙方未按合同约定履行，构成根本性违约的，甲方有权终止合同，并追究乙方的违约责任。</w:t>
      </w:r>
    </w:p>
    <w:p w14:paraId="272B2246">
      <w:pPr>
        <w:pStyle w:val="167"/>
        <w:rPr>
          <w:rFonts w:hint="eastAsia" w:ascii="宋体" w:hAnsi="宋体" w:eastAsia="宋体" w:cs="宋体"/>
          <w:sz w:val="24"/>
          <w:szCs w:val="24"/>
        </w:rPr>
      </w:pPr>
      <w:r>
        <w:rPr>
          <w:rFonts w:hint="eastAsia" w:ascii="宋体" w:hAnsi="宋体" w:eastAsia="宋体" w:cs="宋体"/>
          <w:sz w:val="24"/>
          <w:szCs w:val="24"/>
        </w:rPr>
        <w:t xml:space="preserve">16.4 </w:t>
      </w:r>
      <w:r>
        <w:rPr>
          <w:rFonts w:hint="eastAsia" w:ascii="宋体" w:hAnsi="宋体" w:eastAsia="宋体" w:cs="宋体"/>
          <w:kern w:val="2"/>
          <w:sz w:val="24"/>
          <w:szCs w:val="24"/>
        </w:rPr>
        <w:t>涉及国家利益、社会公共利益的情形</w:t>
      </w:r>
    </w:p>
    <w:p w14:paraId="5956E62F">
      <w:pPr>
        <w:pStyle w:val="167"/>
        <w:ind w:firstLine="420"/>
        <w:jc w:val="both"/>
        <w:rPr>
          <w:rFonts w:hint="eastAsia" w:ascii="宋体" w:hAnsi="宋体" w:eastAsia="宋体" w:cs="宋体"/>
          <w:sz w:val="24"/>
          <w:szCs w:val="24"/>
        </w:rPr>
      </w:pPr>
      <w:r>
        <w:rPr>
          <w:rFonts w:hint="eastAsia" w:ascii="宋体" w:hAnsi="宋体" w:eastAsia="宋体" w:cs="宋体"/>
          <w:sz w:val="24"/>
          <w:szCs w:val="24"/>
        </w:rPr>
        <w:t>政府采购合同继续履行将损害国家利益和社会公共利益的，双方当事人应当变更、中止或者终止合同。有过错的一方应当承担赔偿责任，双方都有过错的，各自承担相应的责任。</w:t>
      </w:r>
    </w:p>
    <w:p w14:paraId="65FAA5E2">
      <w:pPr>
        <w:autoSpaceDE w:val="0"/>
        <w:autoSpaceDN w:val="0"/>
        <w:adjustRightInd w:val="0"/>
        <w:snapToGrid w:val="0"/>
        <w:spacing w:line="400" w:lineRule="exact"/>
        <w:jc w:val="left"/>
        <w:rPr>
          <w:rFonts w:hint="eastAsia" w:ascii="宋体" w:hAnsi="宋体" w:eastAsia="宋体" w:cs="宋体"/>
          <w:b/>
          <w:bCs/>
          <w:sz w:val="24"/>
          <w:szCs w:val="24"/>
        </w:rPr>
      </w:pPr>
      <w:r>
        <w:rPr>
          <w:rFonts w:hint="eastAsia" w:ascii="宋体" w:hAnsi="宋体" w:eastAsia="宋体" w:cs="宋体"/>
          <w:b/>
          <w:bCs/>
          <w:sz w:val="24"/>
          <w:szCs w:val="24"/>
        </w:rPr>
        <w:t>17. 合同分包</w:t>
      </w:r>
    </w:p>
    <w:p w14:paraId="2D12BC57">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17.1 乙方不得将合同转包给其他供应商。涉及合同分包的，乙方应根据采购文件和投标（响应）文件规定进行合同分包。</w:t>
      </w:r>
    </w:p>
    <w:p w14:paraId="04F0FF41">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17.2 乙方执行政府采购政策向中小企业依法分包的，乙方应当按采购文件和投标（响应）文件签订分包意向协议，分包意向协议属于本合同组成部分。</w:t>
      </w:r>
    </w:p>
    <w:p w14:paraId="772EC14C">
      <w:pPr>
        <w:autoSpaceDE w:val="0"/>
        <w:autoSpaceDN w:val="0"/>
        <w:adjustRightInd w:val="0"/>
        <w:snapToGrid w:val="0"/>
        <w:spacing w:line="400" w:lineRule="exact"/>
        <w:jc w:val="left"/>
        <w:rPr>
          <w:rFonts w:hint="eastAsia" w:ascii="宋体" w:hAnsi="宋体" w:eastAsia="宋体" w:cs="宋体"/>
          <w:b/>
          <w:bCs/>
          <w:sz w:val="24"/>
          <w:szCs w:val="24"/>
        </w:rPr>
      </w:pPr>
      <w:r>
        <w:rPr>
          <w:rFonts w:hint="eastAsia" w:ascii="宋体" w:hAnsi="宋体" w:eastAsia="宋体" w:cs="宋体"/>
          <w:b/>
          <w:bCs/>
          <w:sz w:val="24"/>
          <w:szCs w:val="24"/>
        </w:rPr>
        <w:t>18. 不可抗力</w:t>
      </w:r>
    </w:p>
    <w:p w14:paraId="061F5101">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18.1 不可抗力是指合同双方不能预见、不能避免且不能克服的客观情况。</w:t>
      </w:r>
    </w:p>
    <w:p w14:paraId="02CA21F0">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18.2 任何一方对由于不可抗力造成的部分或全部不能履行合同不承担违约责任。但迟延履行后发生不可抗力的，不能免除责任。</w:t>
      </w:r>
    </w:p>
    <w:p w14:paraId="59311729">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3D526730">
      <w:pPr>
        <w:autoSpaceDE w:val="0"/>
        <w:autoSpaceDN w:val="0"/>
        <w:adjustRightInd w:val="0"/>
        <w:snapToGrid w:val="0"/>
        <w:spacing w:line="400" w:lineRule="exact"/>
        <w:jc w:val="left"/>
        <w:rPr>
          <w:rFonts w:hint="eastAsia" w:ascii="宋体" w:hAnsi="宋体" w:eastAsia="宋体" w:cs="宋体"/>
          <w:b/>
          <w:bCs/>
          <w:sz w:val="24"/>
          <w:szCs w:val="24"/>
        </w:rPr>
      </w:pPr>
      <w:r>
        <w:rPr>
          <w:rFonts w:hint="eastAsia" w:ascii="宋体" w:hAnsi="宋体" w:eastAsia="宋体" w:cs="宋体"/>
          <w:b/>
          <w:bCs/>
          <w:sz w:val="24"/>
          <w:szCs w:val="24"/>
        </w:rPr>
        <w:t>19. 解决争议的方法</w:t>
      </w:r>
    </w:p>
    <w:p w14:paraId="27D50009">
      <w:pPr>
        <w:pStyle w:val="167"/>
        <w:ind w:firstLine="420"/>
        <w:jc w:val="both"/>
        <w:rPr>
          <w:rFonts w:hint="eastAsia" w:ascii="宋体" w:hAnsi="宋体" w:eastAsia="宋体" w:cs="宋体"/>
          <w:sz w:val="24"/>
          <w:szCs w:val="24"/>
        </w:rPr>
      </w:pPr>
      <w:r>
        <w:rPr>
          <w:rFonts w:hint="eastAsia" w:ascii="宋体" w:hAnsi="宋体" w:eastAsia="宋体" w:cs="宋体"/>
          <w:sz w:val="24"/>
          <w:szCs w:val="24"/>
        </w:rPr>
        <w:t>19.1 因本合同及合同有关事项发生的争议，由甲乙双方友好协商解决。协商不成时，可以向有关组织申请调解。合同一方或双方不愿调解或调解不成的，可以通过仲裁或诉讼的方式解决争议。</w:t>
      </w:r>
    </w:p>
    <w:p w14:paraId="003E07EC">
      <w:pPr>
        <w:pStyle w:val="167"/>
        <w:ind w:firstLine="420"/>
        <w:jc w:val="both"/>
        <w:rPr>
          <w:rFonts w:hint="eastAsia" w:ascii="宋体" w:hAnsi="宋体" w:eastAsia="宋体" w:cs="宋体"/>
          <w:sz w:val="24"/>
          <w:szCs w:val="24"/>
        </w:rPr>
      </w:pPr>
      <w:r>
        <w:rPr>
          <w:rFonts w:hint="eastAsia" w:ascii="宋体" w:hAnsi="宋体" w:eastAsia="宋体" w:cs="宋体"/>
          <w:sz w:val="24"/>
          <w:szCs w:val="24"/>
        </w:rPr>
        <w:t>19.2 选择仲裁的，应在</w:t>
      </w:r>
      <w:r>
        <w:rPr>
          <w:rFonts w:hint="eastAsia" w:ascii="宋体" w:hAnsi="宋体" w:eastAsia="宋体" w:cs="宋体"/>
          <w:b/>
          <w:bCs/>
          <w:sz w:val="24"/>
          <w:szCs w:val="24"/>
        </w:rPr>
        <w:t>【政府采购合同专用条款】</w:t>
      </w:r>
      <w:r>
        <w:rPr>
          <w:rFonts w:hint="eastAsia" w:ascii="宋体" w:hAnsi="宋体" w:eastAsia="宋体" w:cs="宋体"/>
          <w:sz w:val="24"/>
          <w:szCs w:val="24"/>
        </w:rPr>
        <w:t>中明确仲裁机构及仲裁地；通过诉讼方式解决的，可以在</w:t>
      </w:r>
      <w:r>
        <w:rPr>
          <w:rFonts w:hint="eastAsia" w:ascii="宋体" w:hAnsi="宋体" w:eastAsia="宋体" w:cs="宋体"/>
          <w:b/>
          <w:bCs/>
          <w:sz w:val="24"/>
          <w:szCs w:val="24"/>
        </w:rPr>
        <w:t>【政府采购合同专用条款】</w:t>
      </w:r>
      <w:r>
        <w:rPr>
          <w:rFonts w:hint="eastAsia" w:ascii="宋体" w:hAnsi="宋体" w:eastAsia="宋体" w:cs="宋体"/>
          <w:sz w:val="24"/>
          <w:szCs w:val="24"/>
        </w:rPr>
        <w:t>中进一步约定选择与争议有实际联系的地点的人民法院管辖，但管辖法院的约定不得违反级别管辖和专属管辖的规定。</w:t>
      </w:r>
    </w:p>
    <w:p w14:paraId="0D4F3122">
      <w:pPr>
        <w:pStyle w:val="167"/>
        <w:ind w:firstLine="420"/>
        <w:jc w:val="both"/>
        <w:rPr>
          <w:rFonts w:hint="eastAsia" w:ascii="宋体" w:hAnsi="宋体" w:eastAsia="宋体" w:cs="宋体"/>
          <w:sz w:val="24"/>
          <w:szCs w:val="24"/>
        </w:rPr>
      </w:pPr>
      <w:r>
        <w:rPr>
          <w:rFonts w:hint="eastAsia" w:ascii="宋体" w:hAnsi="宋体" w:eastAsia="宋体" w:cs="宋体"/>
          <w:sz w:val="24"/>
          <w:szCs w:val="24"/>
        </w:rPr>
        <w:t>19.3 如甲乙双方有争议的事项不影响合同其他部分的履行，在争议解决期间，合同其他部分应当继续履行。</w:t>
      </w:r>
    </w:p>
    <w:p w14:paraId="15F41BC2">
      <w:pPr>
        <w:autoSpaceDE w:val="0"/>
        <w:autoSpaceDN w:val="0"/>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b/>
          <w:sz w:val="24"/>
          <w:szCs w:val="24"/>
        </w:rPr>
        <w:t>20. 政府采购政策</w:t>
      </w:r>
    </w:p>
    <w:p w14:paraId="2F80B81E">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20.1 </w:t>
      </w:r>
      <w:r>
        <w:rPr>
          <w:rFonts w:hint="eastAsia" w:ascii="宋体" w:hAnsi="宋体" w:eastAsia="宋体" w:cs="宋体"/>
          <w:sz w:val="24"/>
          <w:szCs w:val="24"/>
          <w:lang w:val="en-GB"/>
        </w:rPr>
        <w:t>本合同应当按照规定执行政府采购政策。</w:t>
      </w:r>
    </w:p>
    <w:p w14:paraId="0231A6DF">
      <w:pPr>
        <w:autoSpaceDE w:val="0"/>
        <w:autoSpaceDN w:val="0"/>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20.2 本合同依法执行政府采购政策的方式和内容，属于合同履约验收的范围。甲乙双方</w:t>
      </w:r>
      <w:r>
        <w:rPr>
          <w:rFonts w:hint="eastAsia" w:ascii="宋体" w:hAnsi="宋体" w:eastAsia="宋体" w:cs="宋体"/>
          <w:sz w:val="24"/>
          <w:szCs w:val="24"/>
          <w:lang w:val="en-GB"/>
        </w:rPr>
        <w:t>未按规定要求执行政府采购政策造成损失的</w:t>
      </w:r>
      <w:r>
        <w:rPr>
          <w:rFonts w:hint="eastAsia" w:ascii="宋体" w:hAnsi="宋体" w:eastAsia="宋体" w:cs="宋体"/>
          <w:sz w:val="24"/>
          <w:szCs w:val="24"/>
        </w:rPr>
        <w:t>，有过错的一方应当承担赔偿责任，双方都有过错的，各自承担相应的责任。</w:t>
      </w:r>
    </w:p>
    <w:p w14:paraId="5F39DD44">
      <w:pPr>
        <w:pStyle w:val="8"/>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BE0E1E4">
      <w:pPr>
        <w:autoSpaceDE w:val="0"/>
        <w:autoSpaceDN w:val="0"/>
        <w:adjustRightInd w:val="0"/>
        <w:snapToGrid w:val="0"/>
        <w:spacing w:line="400" w:lineRule="exact"/>
        <w:jc w:val="left"/>
        <w:rPr>
          <w:rFonts w:hint="eastAsia" w:ascii="宋体" w:hAnsi="宋体" w:eastAsia="宋体" w:cs="宋体"/>
          <w:b/>
          <w:sz w:val="24"/>
          <w:szCs w:val="24"/>
        </w:rPr>
      </w:pPr>
      <w:r>
        <w:rPr>
          <w:rFonts w:hint="eastAsia" w:ascii="宋体" w:hAnsi="宋体" w:eastAsia="宋体" w:cs="宋体"/>
          <w:b/>
          <w:sz w:val="24"/>
          <w:szCs w:val="24"/>
        </w:rPr>
        <w:t>21. 法律适用</w:t>
      </w:r>
    </w:p>
    <w:p w14:paraId="189A897A">
      <w:pPr>
        <w:pStyle w:val="167"/>
        <w:ind w:firstLine="420"/>
        <w:jc w:val="both"/>
        <w:rPr>
          <w:rFonts w:hint="eastAsia" w:ascii="宋体" w:hAnsi="宋体" w:eastAsia="宋体" w:cs="宋体"/>
          <w:sz w:val="24"/>
          <w:szCs w:val="24"/>
        </w:rPr>
      </w:pPr>
      <w:r>
        <w:rPr>
          <w:rFonts w:hint="eastAsia" w:ascii="宋体" w:hAnsi="宋体" w:eastAsia="宋体" w:cs="宋体"/>
          <w:sz w:val="24"/>
          <w:szCs w:val="24"/>
        </w:rPr>
        <w:t>21.1 本合同的订立、生效、解释、履行及与本合同有关的争议解决，均适用法律、行政法规。</w:t>
      </w:r>
    </w:p>
    <w:p w14:paraId="12B65757">
      <w:pPr>
        <w:pStyle w:val="167"/>
        <w:ind w:firstLine="420"/>
        <w:jc w:val="both"/>
        <w:rPr>
          <w:rFonts w:hint="eastAsia" w:ascii="宋体" w:hAnsi="宋体" w:eastAsia="宋体" w:cs="宋体"/>
          <w:sz w:val="24"/>
          <w:szCs w:val="24"/>
        </w:rPr>
      </w:pPr>
      <w:r>
        <w:rPr>
          <w:rFonts w:hint="eastAsia" w:ascii="宋体" w:hAnsi="宋体" w:eastAsia="宋体" w:cs="宋体"/>
          <w:sz w:val="24"/>
          <w:szCs w:val="24"/>
        </w:rPr>
        <w:t>21.2 本合同条款与法律、行政法规的强制性规定不一致的，双方当事人应按照法律、行政法规的强制性规定修改本合同的相关条款。</w:t>
      </w:r>
    </w:p>
    <w:p w14:paraId="7A79C137">
      <w:pPr>
        <w:autoSpaceDE w:val="0"/>
        <w:autoSpaceDN w:val="0"/>
        <w:adjustRightInd w:val="0"/>
        <w:snapToGrid w:val="0"/>
        <w:spacing w:line="400" w:lineRule="exact"/>
        <w:jc w:val="left"/>
        <w:rPr>
          <w:rFonts w:hint="eastAsia" w:ascii="宋体" w:hAnsi="宋体" w:eastAsia="宋体" w:cs="宋体"/>
          <w:b/>
          <w:sz w:val="24"/>
          <w:szCs w:val="24"/>
        </w:rPr>
      </w:pPr>
      <w:r>
        <w:rPr>
          <w:rFonts w:hint="eastAsia" w:ascii="宋体" w:hAnsi="宋体" w:eastAsia="宋体" w:cs="宋体"/>
          <w:b/>
          <w:sz w:val="24"/>
          <w:szCs w:val="24"/>
        </w:rPr>
        <w:t>22. 通知</w:t>
      </w:r>
    </w:p>
    <w:p w14:paraId="703AC02E">
      <w:pPr>
        <w:pStyle w:val="167"/>
        <w:ind w:firstLine="420"/>
        <w:jc w:val="both"/>
        <w:rPr>
          <w:rFonts w:hint="eastAsia" w:ascii="宋体" w:hAnsi="宋体" w:eastAsia="宋体" w:cs="宋体"/>
          <w:sz w:val="24"/>
          <w:szCs w:val="24"/>
        </w:rPr>
      </w:pPr>
      <w:r>
        <w:rPr>
          <w:rFonts w:hint="eastAsia" w:ascii="宋体" w:hAnsi="宋体" w:eastAsia="宋体" w:cs="宋体"/>
          <w:sz w:val="24"/>
          <w:szCs w:val="24"/>
        </w:rPr>
        <w:t>22.1 本合同任何一方向对方发出的通知、信件、数据电文等，应当发送至本合同第一部分《政府采购合同协议书》所约定的通讯地址、联系人、联系电话或电子邮箱。</w:t>
      </w:r>
    </w:p>
    <w:p w14:paraId="08D301B0">
      <w:pPr>
        <w:pStyle w:val="167"/>
        <w:ind w:firstLine="0" w:firstLineChars="0"/>
        <w:jc w:val="both"/>
        <w:rPr>
          <w:rFonts w:hint="eastAsia" w:ascii="宋体" w:hAnsi="宋体" w:eastAsia="宋体" w:cs="宋体"/>
          <w:sz w:val="24"/>
          <w:szCs w:val="24"/>
        </w:rPr>
      </w:pPr>
      <w:r>
        <w:rPr>
          <w:rFonts w:hint="eastAsia" w:ascii="宋体" w:hAnsi="宋体" w:eastAsia="宋体" w:cs="宋体"/>
          <w:sz w:val="24"/>
          <w:szCs w:val="24"/>
        </w:rPr>
        <w:t xml:space="preserve">    22.2 一方当事人变更名称、住所、联系人、联系电话或电子邮箱等信息的，应当在变更后3日内及时书面通知对方，对方实际收到变更通知前的送达仍为有效送达。</w:t>
      </w:r>
    </w:p>
    <w:p w14:paraId="177E03D1">
      <w:pPr>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22.3本合同一方给另一方的通知均应采用书面形式，传真或快递送到本合同中规定的对方的地址和办理签收手续。</w:t>
      </w:r>
    </w:p>
    <w:p w14:paraId="17C821A3">
      <w:pPr>
        <w:adjustRightInd w:val="0"/>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22.4通知以送达之日或通知书中规定的生效之日起生效，两者中以较迟之日为准。</w:t>
      </w:r>
    </w:p>
    <w:p w14:paraId="3B14B1EC">
      <w:pPr>
        <w:numPr>
          <w:ilvl w:val="0"/>
          <w:numId w:val="10"/>
        </w:numPr>
        <w:adjustRightInd w:val="0"/>
        <w:snapToGrid w:val="0"/>
        <w:spacing w:line="400" w:lineRule="exact"/>
        <w:jc w:val="left"/>
        <w:rPr>
          <w:rFonts w:hint="eastAsia" w:ascii="宋体" w:hAnsi="宋体" w:eastAsia="宋体" w:cs="宋体"/>
          <w:b/>
          <w:bCs/>
          <w:sz w:val="24"/>
          <w:szCs w:val="24"/>
        </w:rPr>
      </w:pPr>
      <w:r>
        <w:rPr>
          <w:rFonts w:hint="eastAsia" w:ascii="宋体" w:hAnsi="宋体" w:eastAsia="宋体" w:cs="宋体"/>
          <w:b/>
          <w:bCs/>
          <w:sz w:val="24"/>
          <w:szCs w:val="24"/>
        </w:rPr>
        <w:t>合同未尽事项</w:t>
      </w:r>
    </w:p>
    <w:p w14:paraId="5FAEDC74">
      <w:pPr>
        <w:adjustRightInd w:val="0"/>
        <w:snapToGrid w:val="0"/>
        <w:spacing w:line="400" w:lineRule="exact"/>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23.1合同未尽事项见</w:t>
      </w:r>
      <w:r>
        <w:rPr>
          <w:rFonts w:hint="eastAsia" w:ascii="宋体" w:hAnsi="宋体" w:eastAsia="宋体" w:cs="宋体"/>
          <w:b/>
          <w:sz w:val="24"/>
          <w:szCs w:val="24"/>
        </w:rPr>
        <w:t>【政府采购合同专用条款】</w:t>
      </w:r>
      <w:r>
        <w:rPr>
          <w:rFonts w:hint="eastAsia" w:ascii="宋体" w:hAnsi="宋体" w:eastAsia="宋体" w:cs="宋体"/>
          <w:bCs/>
          <w:sz w:val="24"/>
          <w:szCs w:val="24"/>
        </w:rPr>
        <w:t>。</w:t>
      </w:r>
    </w:p>
    <w:p w14:paraId="5B0262DC">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bCs/>
          <w:sz w:val="24"/>
          <w:szCs w:val="24"/>
        </w:rPr>
        <w:t xml:space="preserve">    23.2 合同附件与合同正文具有同等的法律效力。</w:t>
      </w:r>
      <w:bookmarkStart w:id="123" w:name="_Toc20313"/>
    </w:p>
    <w:p w14:paraId="4AA94EDF">
      <w:pPr>
        <w:bidi w:val="0"/>
        <w:rPr>
          <w:rFonts w:hint="eastAsia"/>
        </w:rPr>
      </w:pPr>
      <w:r>
        <w:rPr>
          <w:rFonts w:hint="eastAsia"/>
        </w:rPr>
        <w:br w:type="page"/>
      </w:r>
    </w:p>
    <w:p w14:paraId="5DE29DFD">
      <w:pPr>
        <w:bidi w:val="0"/>
        <w:jc w:val="center"/>
        <w:rPr>
          <w:rFonts w:hint="eastAsia"/>
          <w:sz w:val="24"/>
          <w:szCs w:val="24"/>
        </w:rPr>
      </w:pPr>
      <w:r>
        <w:rPr>
          <w:rFonts w:hint="eastAsia"/>
          <w:sz w:val="24"/>
          <w:szCs w:val="24"/>
        </w:rPr>
        <w:t>第三节 政府采购合同专用条款</w:t>
      </w:r>
      <w:bookmarkEnd w:id="123"/>
    </w:p>
    <w:tbl>
      <w:tblPr>
        <w:tblStyle w:val="2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69"/>
        <w:gridCol w:w="2053"/>
        <w:gridCol w:w="4497"/>
      </w:tblGrid>
      <w:tr w14:paraId="20DED6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969" w:type="dxa"/>
            <w:noWrap w:val="0"/>
            <w:vAlign w:val="center"/>
          </w:tcPr>
          <w:p w14:paraId="6EBC4F9A">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01D3EFB1">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第1.2（6）项</w:t>
            </w:r>
          </w:p>
        </w:tc>
        <w:tc>
          <w:tcPr>
            <w:tcW w:w="2053" w:type="dxa"/>
            <w:noWrap w:val="0"/>
            <w:vAlign w:val="center"/>
          </w:tcPr>
          <w:p w14:paraId="02EC15BD">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联合体具体要求</w:t>
            </w:r>
          </w:p>
        </w:tc>
        <w:tc>
          <w:tcPr>
            <w:tcW w:w="4497" w:type="dxa"/>
            <w:noWrap w:val="0"/>
            <w:vAlign w:val="center"/>
          </w:tcPr>
          <w:p w14:paraId="4A5B9C25">
            <w:pPr>
              <w:adjustRightInd w:val="0"/>
              <w:snapToGrid w:val="0"/>
              <w:jc w:val="left"/>
              <w:rPr>
                <w:rFonts w:hint="eastAsia" w:ascii="宋体" w:hAnsi="宋体" w:eastAsia="宋体" w:cs="宋体"/>
                <w:sz w:val="24"/>
                <w:szCs w:val="24"/>
              </w:rPr>
            </w:pPr>
          </w:p>
        </w:tc>
      </w:tr>
      <w:tr w14:paraId="512B76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969" w:type="dxa"/>
            <w:noWrap w:val="0"/>
            <w:vAlign w:val="center"/>
          </w:tcPr>
          <w:p w14:paraId="063E6572">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7EA8611E">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第1.2（7）项</w:t>
            </w:r>
          </w:p>
        </w:tc>
        <w:tc>
          <w:tcPr>
            <w:tcW w:w="2053" w:type="dxa"/>
            <w:noWrap w:val="0"/>
            <w:vAlign w:val="center"/>
          </w:tcPr>
          <w:p w14:paraId="252EE4BA">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其他术语解释</w:t>
            </w:r>
          </w:p>
        </w:tc>
        <w:tc>
          <w:tcPr>
            <w:tcW w:w="4497" w:type="dxa"/>
            <w:noWrap w:val="0"/>
            <w:vAlign w:val="center"/>
          </w:tcPr>
          <w:p w14:paraId="3E35614B">
            <w:pPr>
              <w:adjustRightInd w:val="0"/>
              <w:snapToGrid w:val="0"/>
              <w:jc w:val="left"/>
              <w:rPr>
                <w:rFonts w:hint="eastAsia" w:ascii="宋体" w:hAnsi="宋体" w:eastAsia="宋体" w:cs="宋体"/>
                <w:sz w:val="24"/>
                <w:szCs w:val="24"/>
              </w:rPr>
            </w:pPr>
          </w:p>
        </w:tc>
      </w:tr>
      <w:tr w14:paraId="1C4C51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969" w:type="dxa"/>
            <w:noWrap w:val="0"/>
            <w:vAlign w:val="center"/>
          </w:tcPr>
          <w:p w14:paraId="73321F67">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67785F52">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第4.4款</w:t>
            </w:r>
          </w:p>
        </w:tc>
        <w:tc>
          <w:tcPr>
            <w:tcW w:w="2053" w:type="dxa"/>
            <w:noWrap w:val="0"/>
            <w:vAlign w:val="center"/>
          </w:tcPr>
          <w:p w14:paraId="129F6BEB">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履约验收中甲方提出异议或作出说明的期限</w:t>
            </w:r>
          </w:p>
        </w:tc>
        <w:tc>
          <w:tcPr>
            <w:tcW w:w="4497" w:type="dxa"/>
            <w:noWrap w:val="0"/>
            <w:vAlign w:val="center"/>
          </w:tcPr>
          <w:p w14:paraId="75DD40E4">
            <w:pPr>
              <w:adjustRightInd w:val="0"/>
              <w:snapToGrid w:val="0"/>
              <w:jc w:val="left"/>
              <w:rPr>
                <w:rFonts w:hint="eastAsia" w:ascii="宋体" w:hAnsi="宋体" w:eastAsia="宋体" w:cs="宋体"/>
                <w:sz w:val="24"/>
                <w:szCs w:val="24"/>
              </w:rPr>
            </w:pPr>
          </w:p>
        </w:tc>
      </w:tr>
      <w:tr w14:paraId="5AB6E9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969" w:type="dxa"/>
            <w:noWrap w:val="0"/>
            <w:vAlign w:val="center"/>
          </w:tcPr>
          <w:p w14:paraId="59F0DB96">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67E636A4">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第4.6款</w:t>
            </w:r>
          </w:p>
        </w:tc>
        <w:tc>
          <w:tcPr>
            <w:tcW w:w="2053" w:type="dxa"/>
            <w:noWrap w:val="0"/>
            <w:vAlign w:val="center"/>
          </w:tcPr>
          <w:p w14:paraId="0DFE8493">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约定甲方承担的其他义务和责任</w:t>
            </w:r>
          </w:p>
        </w:tc>
        <w:tc>
          <w:tcPr>
            <w:tcW w:w="4497" w:type="dxa"/>
            <w:noWrap w:val="0"/>
            <w:vAlign w:val="center"/>
          </w:tcPr>
          <w:p w14:paraId="03BAC661">
            <w:pPr>
              <w:adjustRightInd w:val="0"/>
              <w:snapToGrid w:val="0"/>
              <w:jc w:val="left"/>
              <w:rPr>
                <w:rFonts w:hint="eastAsia" w:ascii="宋体" w:hAnsi="宋体" w:eastAsia="宋体" w:cs="宋体"/>
                <w:sz w:val="24"/>
                <w:szCs w:val="24"/>
              </w:rPr>
            </w:pPr>
          </w:p>
        </w:tc>
      </w:tr>
      <w:tr w14:paraId="4F69DE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969" w:type="dxa"/>
            <w:noWrap w:val="0"/>
            <w:vAlign w:val="center"/>
          </w:tcPr>
          <w:p w14:paraId="66750F95">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50D08CCD">
            <w:pPr>
              <w:snapToGrid w:val="0"/>
              <w:jc w:val="center"/>
              <w:rPr>
                <w:rFonts w:hint="eastAsia" w:ascii="宋体" w:hAnsi="宋体" w:eastAsia="宋体" w:cs="宋体"/>
                <w:sz w:val="24"/>
                <w:szCs w:val="24"/>
              </w:rPr>
            </w:pPr>
            <w:r>
              <w:rPr>
                <w:rFonts w:hint="eastAsia" w:ascii="宋体" w:hAnsi="宋体" w:eastAsia="宋体" w:cs="宋体"/>
                <w:sz w:val="24"/>
                <w:szCs w:val="24"/>
              </w:rPr>
              <w:t>第5.4款</w:t>
            </w:r>
          </w:p>
        </w:tc>
        <w:tc>
          <w:tcPr>
            <w:tcW w:w="2053" w:type="dxa"/>
            <w:noWrap w:val="0"/>
            <w:vAlign w:val="center"/>
          </w:tcPr>
          <w:p w14:paraId="24FF9957">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约定乙方承担的其他义务和责任</w:t>
            </w:r>
          </w:p>
        </w:tc>
        <w:tc>
          <w:tcPr>
            <w:tcW w:w="4497" w:type="dxa"/>
            <w:noWrap w:val="0"/>
            <w:vAlign w:val="center"/>
          </w:tcPr>
          <w:p w14:paraId="40CCC991">
            <w:pPr>
              <w:adjustRightInd w:val="0"/>
              <w:snapToGrid w:val="0"/>
              <w:jc w:val="left"/>
              <w:rPr>
                <w:rFonts w:hint="eastAsia" w:ascii="宋体" w:hAnsi="宋体" w:eastAsia="宋体" w:cs="宋体"/>
                <w:sz w:val="24"/>
                <w:szCs w:val="24"/>
              </w:rPr>
            </w:pPr>
          </w:p>
        </w:tc>
      </w:tr>
      <w:tr w14:paraId="3F2D6F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969" w:type="dxa"/>
            <w:noWrap w:val="0"/>
            <w:vAlign w:val="center"/>
          </w:tcPr>
          <w:p w14:paraId="6BD699C4">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03E5F9B9">
            <w:pPr>
              <w:snapToGrid w:val="0"/>
              <w:jc w:val="center"/>
              <w:rPr>
                <w:rFonts w:hint="eastAsia" w:ascii="宋体" w:hAnsi="宋体" w:eastAsia="宋体" w:cs="宋体"/>
                <w:sz w:val="24"/>
                <w:szCs w:val="24"/>
              </w:rPr>
            </w:pPr>
            <w:r>
              <w:rPr>
                <w:rFonts w:hint="eastAsia" w:ascii="宋体" w:hAnsi="宋体" w:eastAsia="宋体" w:cs="宋体"/>
                <w:sz w:val="24"/>
                <w:szCs w:val="24"/>
              </w:rPr>
              <w:t>第6.1款</w:t>
            </w:r>
          </w:p>
        </w:tc>
        <w:tc>
          <w:tcPr>
            <w:tcW w:w="2053" w:type="dxa"/>
            <w:noWrap w:val="0"/>
            <w:vAlign w:val="center"/>
          </w:tcPr>
          <w:p w14:paraId="77B6D9FA">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履行合同义务的顺序</w:t>
            </w:r>
          </w:p>
        </w:tc>
        <w:tc>
          <w:tcPr>
            <w:tcW w:w="4497" w:type="dxa"/>
            <w:noWrap w:val="0"/>
            <w:vAlign w:val="center"/>
          </w:tcPr>
          <w:p w14:paraId="64ED7B50">
            <w:pPr>
              <w:adjustRightInd w:val="0"/>
              <w:snapToGrid w:val="0"/>
              <w:jc w:val="left"/>
              <w:rPr>
                <w:rFonts w:hint="eastAsia" w:ascii="宋体" w:hAnsi="宋体" w:eastAsia="宋体" w:cs="宋体"/>
                <w:sz w:val="24"/>
                <w:szCs w:val="24"/>
              </w:rPr>
            </w:pPr>
          </w:p>
        </w:tc>
      </w:tr>
      <w:tr w14:paraId="0D1928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969" w:type="dxa"/>
            <w:vMerge w:val="restart"/>
            <w:noWrap w:val="0"/>
            <w:vAlign w:val="center"/>
          </w:tcPr>
          <w:p w14:paraId="69A97777">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1B257919">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第7.1款</w:t>
            </w:r>
          </w:p>
        </w:tc>
        <w:tc>
          <w:tcPr>
            <w:tcW w:w="2053" w:type="dxa"/>
            <w:noWrap w:val="0"/>
            <w:vAlign w:val="center"/>
          </w:tcPr>
          <w:p w14:paraId="66C1901C">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包装特殊要求</w:t>
            </w:r>
          </w:p>
        </w:tc>
        <w:tc>
          <w:tcPr>
            <w:tcW w:w="4497" w:type="dxa"/>
            <w:noWrap w:val="0"/>
            <w:vAlign w:val="center"/>
          </w:tcPr>
          <w:p w14:paraId="5DB946DF">
            <w:pPr>
              <w:rPr>
                <w:rFonts w:hint="eastAsia" w:ascii="宋体" w:hAnsi="宋体" w:eastAsia="宋体" w:cs="宋体"/>
                <w:sz w:val="24"/>
                <w:szCs w:val="24"/>
              </w:rPr>
            </w:pPr>
          </w:p>
        </w:tc>
      </w:tr>
      <w:tr w14:paraId="40B302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969" w:type="dxa"/>
            <w:vMerge w:val="continue"/>
            <w:noWrap w:val="0"/>
            <w:vAlign w:val="center"/>
          </w:tcPr>
          <w:p w14:paraId="55C139F6">
            <w:pPr>
              <w:adjustRightInd w:val="0"/>
              <w:snapToGrid w:val="0"/>
              <w:jc w:val="center"/>
              <w:rPr>
                <w:rFonts w:hint="eastAsia" w:ascii="宋体" w:hAnsi="宋体" w:eastAsia="宋体" w:cs="宋体"/>
                <w:sz w:val="24"/>
                <w:szCs w:val="24"/>
              </w:rPr>
            </w:pPr>
          </w:p>
        </w:tc>
        <w:tc>
          <w:tcPr>
            <w:tcW w:w="2053" w:type="dxa"/>
            <w:noWrap w:val="0"/>
            <w:vAlign w:val="center"/>
          </w:tcPr>
          <w:p w14:paraId="1E4A83E4">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指定现场</w:t>
            </w:r>
          </w:p>
        </w:tc>
        <w:tc>
          <w:tcPr>
            <w:tcW w:w="4497" w:type="dxa"/>
            <w:noWrap w:val="0"/>
            <w:vAlign w:val="center"/>
          </w:tcPr>
          <w:p w14:paraId="4C17CC65">
            <w:pPr>
              <w:rPr>
                <w:rFonts w:hint="eastAsia" w:ascii="宋体" w:hAnsi="宋体" w:eastAsia="宋体" w:cs="宋体"/>
                <w:sz w:val="24"/>
                <w:szCs w:val="24"/>
              </w:rPr>
            </w:pPr>
          </w:p>
        </w:tc>
      </w:tr>
      <w:tr w14:paraId="447314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969" w:type="dxa"/>
            <w:noWrap w:val="0"/>
            <w:vAlign w:val="center"/>
          </w:tcPr>
          <w:p w14:paraId="6554E17C">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30CA6681">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第7.2款</w:t>
            </w:r>
          </w:p>
        </w:tc>
        <w:tc>
          <w:tcPr>
            <w:tcW w:w="2053" w:type="dxa"/>
            <w:noWrap w:val="0"/>
            <w:vAlign w:val="center"/>
          </w:tcPr>
          <w:p w14:paraId="29844B8C">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运输特殊要求</w:t>
            </w:r>
          </w:p>
        </w:tc>
        <w:tc>
          <w:tcPr>
            <w:tcW w:w="4497" w:type="dxa"/>
            <w:noWrap w:val="0"/>
            <w:vAlign w:val="center"/>
          </w:tcPr>
          <w:p w14:paraId="45BEF455">
            <w:pPr>
              <w:rPr>
                <w:rFonts w:hint="eastAsia" w:ascii="宋体" w:hAnsi="宋体" w:eastAsia="宋体" w:cs="宋体"/>
                <w:sz w:val="24"/>
                <w:szCs w:val="24"/>
              </w:rPr>
            </w:pPr>
          </w:p>
        </w:tc>
      </w:tr>
      <w:tr w14:paraId="2CC4C4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969" w:type="dxa"/>
            <w:noWrap w:val="0"/>
            <w:vAlign w:val="center"/>
          </w:tcPr>
          <w:p w14:paraId="4E6077F4">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4005A057">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第7.3款</w:t>
            </w:r>
          </w:p>
        </w:tc>
        <w:tc>
          <w:tcPr>
            <w:tcW w:w="2053" w:type="dxa"/>
            <w:noWrap w:val="0"/>
            <w:vAlign w:val="center"/>
          </w:tcPr>
          <w:p w14:paraId="7792B324">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保险要求</w:t>
            </w:r>
          </w:p>
        </w:tc>
        <w:tc>
          <w:tcPr>
            <w:tcW w:w="4497" w:type="dxa"/>
            <w:noWrap w:val="0"/>
            <w:vAlign w:val="center"/>
          </w:tcPr>
          <w:p w14:paraId="6B193E70">
            <w:pPr>
              <w:rPr>
                <w:rFonts w:hint="eastAsia" w:ascii="宋体" w:hAnsi="宋体" w:eastAsia="宋体" w:cs="宋体"/>
                <w:sz w:val="24"/>
                <w:szCs w:val="24"/>
              </w:rPr>
            </w:pPr>
          </w:p>
        </w:tc>
      </w:tr>
      <w:tr w14:paraId="5A333D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969" w:type="dxa"/>
            <w:noWrap w:val="0"/>
            <w:vAlign w:val="center"/>
          </w:tcPr>
          <w:p w14:paraId="20EC5D26">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2D9CC92F">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第8.2（1）项</w:t>
            </w:r>
          </w:p>
        </w:tc>
        <w:tc>
          <w:tcPr>
            <w:tcW w:w="2053" w:type="dxa"/>
            <w:noWrap w:val="0"/>
            <w:vAlign w:val="center"/>
          </w:tcPr>
          <w:p w14:paraId="5DC1425D">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质量保证期</w:t>
            </w:r>
          </w:p>
        </w:tc>
        <w:tc>
          <w:tcPr>
            <w:tcW w:w="4497" w:type="dxa"/>
            <w:noWrap w:val="0"/>
            <w:vAlign w:val="center"/>
          </w:tcPr>
          <w:p w14:paraId="35CBFDFF">
            <w:pPr>
              <w:autoSpaceDE w:val="0"/>
              <w:autoSpaceDN w:val="0"/>
              <w:adjustRightInd w:val="0"/>
              <w:snapToGrid w:val="0"/>
              <w:ind w:firstLine="480" w:firstLineChars="200"/>
              <w:jc w:val="left"/>
              <w:rPr>
                <w:rFonts w:hint="eastAsia" w:ascii="宋体" w:hAnsi="宋体" w:eastAsia="宋体" w:cs="宋体"/>
                <w:sz w:val="24"/>
                <w:szCs w:val="24"/>
              </w:rPr>
            </w:pPr>
          </w:p>
        </w:tc>
      </w:tr>
      <w:tr w14:paraId="1F10E3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969" w:type="dxa"/>
            <w:noWrap w:val="0"/>
            <w:vAlign w:val="center"/>
          </w:tcPr>
          <w:p w14:paraId="0BD37B1E">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1CBE75F5">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第8.2（3）项</w:t>
            </w:r>
          </w:p>
        </w:tc>
        <w:tc>
          <w:tcPr>
            <w:tcW w:w="2053" w:type="dxa"/>
            <w:noWrap w:val="0"/>
            <w:vAlign w:val="center"/>
          </w:tcPr>
          <w:p w14:paraId="5966774E">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货物质量缺陷</w:t>
            </w:r>
          </w:p>
          <w:p w14:paraId="24679132">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响应时间</w:t>
            </w:r>
          </w:p>
        </w:tc>
        <w:tc>
          <w:tcPr>
            <w:tcW w:w="4497" w:type="dxa"/>
            <w:noWrap w:val="0"/>
            <w:vAlign w:val="center"/>
          </w:tcPr>
          <w:p w14:paraId="0A655F71">
            <w:pPr>
              <w:adjustRightInd w:val="0"/>
              <w:snapToGrid w:val="0"/>
              <w:jc w:val="left"/>
              <w:rPr>
                <w:rFonts w:hint="eastAsia" w:ascii="宋体" w:hAnsi="宋体" w:eastAsia="宋体" w:cs="宋体"/>
                <w:sz w:val="24"/>
                <w:szCs w:val="24"/>
              </w:rPr>
            </w:pPr>
          </w:p>
        </w:tc>
      </w:tr>
      <w:tr w14:paraId="62F134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969" w:type="dxa"/>
            <w:noWrap w:val="0"/>
            <w:vAlign w:val="center"/>
          </w:tcPr>
          <w:p w14:paraId="351F39ED">
            <w:pPr>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20BF3ABD">
            <w:pPr>
              <w:pStyle w:val="167"/>
              <w:ind w:firstLine="0" w:firstLineChars="0"/>
              <w:jc w:val="center"/>
              <w:rPr>
                <w:rFonts w:hint="eastAsia" w:ascii="宋体" w:hAnsi="宋体" w:eastAsia="宋体" w:cs="宋体"/>
                <w:sz w:val="24"/>
                <w:szCs w:val="24"/>
              </w:rPr>
            </w:pPr>
            <w:r>
              <w:rPr>
                <w:rFonts w:hint="eastAsia" w:ascii="宋体" w:hAnsi="宋体" w:eastAsia="宋体" w:cs="宋体"/>
                <w:sz w:val="24"/>
                <w:szCs w:val="24"/>
              </w:rPr>
              <w:t>第11.1款</w:t>
            </w:r>
          </w:p>
        </w:tc>
        <w:tc>
          <w:tcPr>
            <w:tcW w:w="2053" w:type="dxa"/>
            <w:noWrap w:val="0"/>
            <w:vAlign w:val="center"/>
          </w:tcPr>
          <w:p w14:paraId="0EB0FC2E">
            <w:pPr>
              <w:adjustRightInd w:val="0"/>
              <w:snapToGrid w:val="0"/>
              <w:rPr>
                <w:rFonts w:hint="eastAsia" w:ascii="宋体" w:hAnsi="宋体" w:eastAsia="宋体" w:cs="宋体"/>
                <w:sz w:val="24"/>
                <w:szCs w:val="24"/>
              </w:rPr>
            </w:pPr>
            <w:r>
              <w:rPr>
                <w:rFonts w:hint="eastAsia" w:ascii="宋体" w:hAnsi="宋体" w:eastAsia="宋体" w:cs="宋体"/>
                <w:sz w:val="24"/>
                <w:szCs w:val="24"/>
              </w:rPr>
              <w:t>其他应当保密的信息</w:t>
            </w:r>
          </w:p>
        </w:tc>
        <w:tc>
          <w:tcPr>
            <w:tcW w:w="4497" w:type="dxa"/>
            <w:noWrap w:val="0"/>
            <w:vAlign w:val="center"/>
          </w:tcPr>
          <w:p w14:paraId="46486ED9">
            <w:pPr>
              <w:adjustRightInd w:val="0"/>
              <w:snapToGrid w:val="0"/>
              <w:jc w:val="left"/>
              <w:rPr>
                <w:rFonts w:hint="eastAsia" w:ascii="宋体" w:hAnsi="宋体" w:eastAsia="宋体" w:cs="宋体"/>
                <w:sz w:val="24"/>
                <w:szCs w:val="24"/>
              </w:rPr>
            </w:pPr>
          </w:p>
        </w:tc>
      </w:tr>
      <w:tr w14:paraId="49FCA9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969" w:type="dxa"/>
            <w:noWrap w:val="0"/>
            <w:vAlign w:val="center"/>
          </w:tcPr>
          <w:p w14:paraId="7E0B8C63">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55878968">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第12.2款</w:t>
            </w:r>
          </w:p>
        </w:tc>
        <w:tc>
          <w:tcPr>
            <w:tcW w:w="2053" w:type="dxa"/>
            <w:noWrap w:val="0"/>
            <w:vAlign w:val="center"/>
          </w:tcPr>
          <w:p w14:paraId="499C2005">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合同价款支付时间</w:t>
            </w:r>
          </w:p>
        </w:tc>
        <w:tc>
          <w:tcPr>
            <w:tcW w:w="4497" w:type="dxa"/>
            <w:noWrap w:val="0"/>
            <w:vAlign w:val="center"/>
          </w:tcPr>
          <w:p w14:paraId="482EAB40">
            <w:pPr>
              <w:adjustRightInd w:val="0"/>
              <w:snapToGrid w:val="0"/>
              <w:jc w:val="left"/>
              <w:rPr>
                <w:rFonts w:hint="eastAsia" w:ascii="宋体" w:hAnsi="宋体" w:eastAsia="宋体" w:cs="宋体"/>
                <w:sz w:val="24"/>
                <w:szCs w:val="24"/>
              </w:rPr>
            </w:pPr>
          </w:p>
        </w:tc>
      </w:tr>
      <w:tr w14:paraId="059156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969" w:type="dxa"/>
            <w:noWrap w:val="0"/>
            <w:vAlign w:val="center"/>
          </w:tcPr>
          <w:p w14:paraId="6A89772A">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669863B6">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第13.2款</w:t>
            </w:r>
          </w:p>
        </w:tc>
        <w:tc>
          <w:tcPr>
            <w:tcW w:w="2053" w:type="dxa"/>
            <w:noWrap w:val="0"/>
            <w:vAlign w:val="center"/>
          </w:tcPr>
          <w:p w14:paraId="3F37F5DA">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履约保证金不予退还的情形</w:t>
            </w:r>
          </w:p>
        </w:tc>
        <w:tc>
          <w:tcPr>
            <w:tcW w:w="4497" w:type="dxa"/>
            <w:noWrap w:val="0"/>
            <w:vAlign w:val="center"/>
          </w:tcPr>
          <w:p w14:paraId="4A02CA85">
            <w:pPr>
              <w:adjustRightInd w:val="0"/>
              <w:snapToGrid w:val="0"/>
              <w:jc w:val="left"/>
              <w:rPr>
                <w:rFonts w:hint="eastAsia" w:ascii="宋体" w:hAnsi="宋体" w:eastAsia="宋体" w:cs="宋体"/>
                <w:sz w:val="24"/>
                <w:szCs w:val="24"/>
              </w:rPr>
            </w:pPr>
          </w:p>
        </w:tc>
      </w:tr>
      <w:tr w14:paraId="6AD2FA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969" w:type="dxa"/>
            <w:noWrap w:val="0"/>
            <w:vAlign w:val="center"/>
          </w:tcPr>
          <w:p w14:paraId="4FF2711B">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72DFEC25">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第13.3款</w:t>
            </w:r>
          </w:p>
        </w:tc>
        <w:tc>
          <w:tcPr>
            <w:tcW w:w="2053" w:type="dxa"/>
            <w:noWrap w:val="0"/>
            <w:vAlign w:val="center"/>
          </w:tcPr>
          <w:p w14:paraId="075E79E5">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履约保证金退还时间及逾期退还的违约金</w:t>
            </w:r>
          </w:p>
        </w:tc>
        <w:tc>
          <w:tcPr>
            <w:tcW w:w="4497" w:type="dxa"/>
            <w:noWrap w:val="0"/>
            <w:vAlign w:val="center"/>
          </w:tcPr>
          <w:p w14:paraId="6B357006">
            <w:pPr>
              <w:adjustRightInd w:val="0"/>
              <w:snapToGrid w:val="0"/>
              <w:jc w:val="left"/>
              <w:rPr>
                <w:rFonts w:hint="eastAsia" w:ascii="宋体" w:hAnsi="宋体" w:eastAsia="宋体" w:cs="宋体"/>
                <w:sz w:val="24"/>
                <w:szCs w:val="24"/>
              </w:rPr>
            </w:pPr>
          </w:p>
        </w:tc>
      </w:tr>
      <w:tr w14:paraId="253E19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969" w:type="dxa"/>
            <w:noWrap w:val="0"/>
            <w:vAlign w:val="center"/>
          </w:tcPr>
          <w:p w14:paraId="62735F6A">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1C3645E4">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第14.1（3）项</w:t>
            </w:r>
          </w:p>
        </w:tc>
        <w:tc>
          <w:tcPr>
            <w:tcW w:w="2053" w:type="dxa"/>
            <w:noWrap w:val="0"/>
            <w:vAlign w:val="center"/>
          </w:tcPr>
          <w:p w14:paraId="68999214">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运行监督、维修期限</w:t>
            </w:r>
          </w:p>
        </w:tc>
        <w:tc>
          <w:tcPr>
            <w:tcW w:w="4497" w:type="dxa"/>
            <w:noWrap w:val="0"/>
            <w:vAlign w:val="center"/>
          </w:tcPr>
          <w:p w14:paraId="6F3EEC7C">
            <w:pPr>
              <w:adjustRightInd w:val="0"/>
              <w:snapToGrid w:val="0"/>
              <w:jc w:val="left"/>
              <w:rPr>
                <w:rFonts w:hint="eastAsia" w:ascii="宋体" w:hAnsi="宋体" w:eastAsia="宋体" w:cs="宋体"/>
                <w:sz w:val="24"/>
                <w:szCs w:val="24"/>
              </w:rPr>
            </w:pPr>
          </w:p>
        </w:tc>
      </w:tr>
      <w:tr w14:paraId="52A5D8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969" w:type="dxa"/>
            <w:noWrap w:val="0"/>
            <w:vAlign w:val="center"/>
          </w:tcPr>
          <w:p w14:paraId="57E0B548">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5F9BD45E">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第14.1（5）项</w:t>
            </w:r>
          </w:p>
        </w:tc>
        <w:tc>
          <w:tcPr>
            <w:tcW w:w="2053" w:type="dxa"/>
            <w:noWrap w:val="0"/>
            <w:vAlign w:val="center"/>
          </w:tcPr>
          <w:p w14:paraId="4979D6CE">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货物回收的约定</w:t>
            </w:r>
          </w:p>
        </w:tc>
        <w:tc>
          <w:tcPr>
            <w:tcW w:w="4497" w:type="dxa"/>
            <w:noWrap w:val="0"/>
            <w:vAlign w:val="center"/>
          </w:tcPr>
          <w:p w14:paraId="1E91F5BF">
            <w:pPr>
              <w:adjustRightInd w:val="0"/>
              <w:snapToGrid w:val="0"/>
              <w:jc w:val="left"/>
              <w:rPr>
                <w:rFonts w:hint="eastAsia" w:ascii="宋体" w:hAnsi="宋体" w:eastAsia="宋体" w:cs="宋体"/>
                <w:sz w:val="24"/>
                <w:szCs w:val="24"/>
              </w:rPr>
            </w:pPr>
          </w:p>
        </w:tc>
      </w:tr>
      <w:tr w14:paraId="1E17C0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969" w:type="dxa"/>
            <w:noWrap w:val="0"/>
            <w:vAlign w:val="center"/>
          </w:tcPr>
          <w:p w14:paraId="23EFB994">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118E284E">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第14.1（6）项</w:t>
            </w:r>
          </w:p>
        </w:tc>
        <w:tc>
          <w:tcPr>
            <w:tcW w:w="2053" w:type="dxa"/>
            <w:noWrap w:val="0"/>
            <w:vAlign w:val="center"/>
          </w:tcPr>
          <w:p w14:paraId="149FD97B">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乙方提供的其他服务</w:t>
            </w:r>
          </w:p>
        </w:tc>
        <w:tc>
          <w:tcPr>
            <w:tcW w:w="4497" w:type="dxa"/>
            <w:noWrap w:val="0"/>
            <w:vAlign w:val="center"/>
          </w:tcPr>
          <w:p w14:paraId="3AA42C9A">
            <w:pPr>
              <w:adjustRightInd w:val="0"/>
              <w:snapToGrid w:val="0"/>
              <w:jc w:val="left"/>
              <w:rPr>
                <w:rFonts w:hint="eastAsia" w:ascii="宋体" w:hAnsi="宋体" w:eastAsia="宋体" w:cs="宋体"/>
                <w:sz w:val="24"/>
                <w:szCs w:val="24"/>
              </w:rPr>
            </w:pPr>
          </w:p>
        </w:tc>
      </w:tr>
      <w:tr w14:paraId="795B2F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969" w:type="dxa"/>
            <w:noWrap w:val="0"/>
            <w:vAlign w:val="center"/>
          </w:tcPr>
          <w:p w14:paraId="11AA5EB3">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30EE8905">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第15.1款</w:t>
            </w:r>
          </w:p>
        </w:tc>
        <w:tc>
          <w:tcPr>
            <w:tcW w:w="2053" w:type="dxa"/>
            <w:noWrap w:val="0"/>
            <w:vAlign w:val="center"/>
          </w:tcPr>
          <w:p w14:paraId="0AF7933E">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修理、重作、更换相关具体规定</w:t>
            </w:r>
          </w:p>
        </w:tc>
        <w:tc>
          <w:tcPr>
            <w:tcW w:w="4497" w:type="dxa"/>
            <w:noWrap w:val="0"/>
            <w:vAlign w:val="center"/>
          </w:tcPr>
          <w:p w14:paraId="34C9491D">
            <w:pPr>
              <w:adjustRightInd w:val="0"/>
              <w:snapToGrid w:val="0"/>
              <w:jc w:val="left"/>
              <w:rPr>
                <w:rFonts w:hint="eastAsia" w:ascii="宋体" w:hAnsi="宋体" w:eastAsia="宋体" w:cs="宋体"/>
                <w:sz w:val="24"/>
                <w:szCs w:val="24"/>
              </w:rPr>
            </w:pPr>
          </w:p>
        </w:tc>
      </w:tr>
      <w:tr w14:paraId="0958DD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969" w:type="dxa"/>
            <w:noWrap w:val="0"/>
            <w:vAlign w:val="center"/>
          </w:tcPr>
          <w:p w14:paraId="7A3F9330">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2C40F5E1">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第15.2（2）项</w:t>
            </w:r>
          </w:p>
        </w:tc>
        <w:tc>
          <w:tcPr>
            <w:tcW w:w="2053" w:type="dxa"/>
            <w:noWrap w:val="0"/>
            <w:vAlign w:val="center"/>
          </w:tcPr>
          <w:p w14:paraId="2AA76A3A">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迟延交货赔偿费</w:t>
            </w:r>
          </w:p>
        </w:tc>
        <w:tc>
          <w:tcPr>
            <w:tcW w:w="4497" w:type="dxa"/>
            <w:noWrap w:val="0"/>
            <w:vAlign w:val="center"/>
          </w:tcPr>
          <w:p w14:paraId="5CEE79F7">
            <w:pPr>
              <w:adjustRightInd w:val="0"/>
              <w:snapToGrid w:val="0"/>
              <w:jc w:val="left"/>
              <w:rPr>
                <w:rFonts w:hint="eastAsia" w:ascii="宋体" w:hAnsi="宋体" w:eastAsia="宋体" w:cs="宋体"/>
                <w:sz w:val="24"/>
                <w:szCs w:val="24"/>
                <w:u w:val="single"/>
              </w:rPr>
            </w:pPr>
          </w:p>
        </w:tc>
      </w:tr>
      <w:tr w14:paraId="442238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969" w:type="dxa"/>
            <w:noWrap w:val="0"/>
            <w:vAlign w:val="center"/>
          </w:tcPr>
          <w:p w14:paraId="293AE916">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52554209">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第15.3款</w:t>
            </w:r>
          </w:p>
        </w:tc>
        <w:tc>
          <w:tcPr>
            <w:tcW w:w="2053" w:type="dxa"/>
            <w:noWrap w:val="0"/>
            <w:vAlign w:val="center"/>
          </w:tcPr>
          <w:p w14:paraId="2C828CFE">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逾期付款利息</w:t>
            </w:r>
          </w:p>
        </w:tc>
        <w:tc>
          <w:tcPr>
            <w:tcW w:w="4497" w:type="dxa"/>
            <w:noWrap w:val="0"/>
            <w:vAlign w:val="center"/>
          </w:tcPr>
          <w:p w14:paraId="33C836BB">
            <w:pPr>
              <w:adjustRightInd w:val="0"/>
              <w:snapToGrid w:val="0"/>
              <w:jc w:val="left"/>
              <w:rPr>
                <w:rFonts w:hint="eastAsia" w:ascii="宋体" w:hAnsi="宋体" w:eastAsia="宋体" w:cs="宋体"/>
                <w:sz w:val="24"/>
                <w:szCs w:val="24"/>
                <w:u w:val="single"/>
              </w:rPr>
            </w:pPr>
          </w:p>
        </w:tc>
      </w:tr>
      <w:tr w14:paraId="4CC3CD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969" w:type="dxa"/>
            <w:tcBorders>
              <w:bottom w:val="single" w:color="auto" w:sz="2" w:space="0"/>
              <w:right w:val="single" w:color="auto" w:sz="2" w:space="0"/>
            </w:tcBorders>
            <w:noWrap w:val="0"/>
            <w:vAlign w:val="center"/>
          </w:tcPr>
          <w:p w14:paraId="7C69139D">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7BC33C85">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第15.4款</w:t>
            </w:r>
          </w:p>
        </w:tc>
        <w:tc>
          <w:tcPr>
            <w:tcW w:w="2053" w:type="dxa"/>
            <w:tcBorders>
              <w:left w:val="single" w:color="auto" w:sz="2" w:space="0"/>
              <w:bottom w:val="single" w:color="auto" w:sz="2" w:space="0"/>
              <w:right w:val="single" w:color="auto" w:sz="2" w:space="0"/>
            </w:tcBorders>
            <w:noWrap w:val="0"/>
            <w:vAlign w:val="center"/>
          </w:tcPr>
          <w:p w14:paraId="2D58D3F0">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其他违约责任</w:t>
            </w:r>
          </w:p>
        </w:tc>
        <w:tc>
          <w:tcPr>
            <w:tcW w:w="4497" w:type="dxa"/>
            <w:tcBorders>
              <w:left w:val="single" w:color="auto" w:sz="2" w:space="0"/>
              <w:bottom w:val="single" w:color="auto" w:sz="2" w:space="0"/>
            </w:tcBorders>
            <w:noWrap w:val="0"/>
            <w:vAlign w:val="center"/>
          </w:tcPr>
          <w:p w14:paraId="23D1B2F6">
            <w:pPr>
              <w:adjustRightInd w:val="0"/>
              <w:snapToGrid w:val="0"/>
              <w:jc w:val="left"/>
              <w:rPr>
                <w:rFonts w:hint="eastAsia" w:ascii="宋体" w:hAnsi="宋体" w:eastAsia="宋体" w:cs="宋体"/>
                <w:sz w:val="24"/>
                <w:szCs w:val="24"/>
                <w:u w:val="single"/>
              </w:rPr>
            </w:pPr>
          </w:p>
        </w:tc>
      </w:tr>
      <w:tr w14:paraId="4EFCC0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969" w:type="dxa"/>
            <w:tcBorders>
              <w:top w:val="single" w:color="auto" w:sz="2" w:space="0"/>
              <w:right w:val="single" w:color="auto" w:sz="2" w:space="0"/>
            </w:tcBorders>
            <w:noWrap w:val="0"/>
            <w:vAlign w:val="center"/>
          </w:tcPr>
          <w:p w14:paraId="22832424">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42B50484">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第19.2款</w:t>
            </w:r>
          </w:p>
        </w:tc>
        <w:tc>
          <w:tcPr>
            <w:tcW w:w="2053" w:type="dxa"/>
            <w:tcBorders>
              <w:top w:val="single" w:color="auto" w:sz="2" w:space="0"/>
              <w:left w:val="single" w:color="auto" w:sz="2" w:space="0"/>
              <w:right w:val="single" w:color="auto" w:sz="2" w:space="0"/>
            </w:tcBorders>
            <w:noWrap w:val="0"/>
            <w:vAlign w:val="center"/>
          </w:tcPr>
          <w:p w14:paraId="6E822590">
            <w:pPr>
              <w:adjustRightInd w:val="0"/>
              <w:snapToGrid w:val="0"/>
              <w:jc w:val="left"/>
              <w:rPr>
                <w:rFonts w:hint="eastAsia" w:ascii="宋体" w:hAnsi="宋体" w:eastAsia="宋体" w:cs="宋体"/>
                <w:sz w:val="24"/>
                <w:szCs w:val="24"/>
              </w:rPr>
            </w:pPr>
            <w:r>
              <w:rPr>
                <w:rFonts w:hint="eastAsia" w:ascii="宋体" w:hAnsi="宋体" w:eastAsia="宋体" w:cs="宋体"/>
                <w:sz w:val="24"/>
                <w:szCs w:val="24"/>
              </w:rPr>
              <w:t>解决争议的方法</w:t>
            </w:r>
          </w:p>
        </w:tc>
        <w:tc>
          <w:tcPr>
            <w:tcW w:w="4497" w:type="dxa"/>
            <w:tcBorders>
              <w:top w:val="single" w:color="auto" w:sz="2" w:space="0"/>
              <w:left w:val="single" w:color="auto" w:sz="2" w:space="0"/>
            </w:tcBorders>
            <w:noWrap w:val="0"/>
            <w:vAlign w:val="center"/>
          </w:tcPr>
          <w:p w14:paraId="022128F1">
            <w:pPr>
              <w:autoSpaceDE w:val="0"/>
              <w:autoSpaceDN w:val="0"/>
              <w:adjustRightInd w:val="0"/>
              <w:snapToGrid w:val="0"/>
              <w:spacing w:line="400" w:lineRule="exact"/>
              <w:jc w:val="left"/>
              <w:rPr>
                <w:rFonts w:hint="eastAsia" w:ascii="宋体" w:hAnsi="宋体" w:eastAsia="宋体" w:cs="宋体"/>
                <w:iCs/>
                <w:sz w:val="24"/>
                <w:szCs w:val="24"/>
              </w:rPr>
            </w:pPr>
            <w:r>
              <w:rPr>
                <w:rFonts w:hint="eastAsia" w:ascii="宋体" w:hAnsi="宋体" w:eastAsia="宋体" w:cs="宋体"/>
                <w:iCs/>
                <w:sz w:val="24"/>
                <w:szCs w:val="24"/>
              </w:rPr>
              <w:t>因本合同及合同有关事项发生的争议，按下列第</w:t>
            </w:r>
            <w:r>
              <w:rPr>
                <w:rFonts w:hint="eastAsia" w:ascii="宋体" w:hAnsi="宋体" w:eastAsia="宋体" w:cs="宋体"/>
                <w:iCs/>
                <w:sz w:val="24"/>
                <w:szCs w:val="24"/>
                <w:u w:val="single"/>
              </w:rPr>
              <w:t xml:space="preserve">   </w:t>
            </w:r>
            <w:r>
              <w:rPr>
                <w:rFonts w:hint="eastAsia" w:ascii="宋体" w:hAnsi="宋体" w:eastAsia="宋体" w:cs="宋体"/>
                <w:iCs/>
                <w:sz w:val="24"/>
                <w:szCs w:val="24"/>
              </w:rPr>
              <w:t>种方式解决：</w:t>
            </w:r>
          </w:p>
          <w:p w14:paraId="7DA4B33C">
            <w:pPr>
              <w:autoSpaceDE w:val="0"/>
              <w:autoSpaceDN w:val="0"/>
              <w:adjustRightInd w:val="0"/>
              <w:snapToGrid w:val="0"/>
              <w:spacing w:line="400" w:lineRule="exact"/>
              <w:jc w:val="left"/>
              <w:rPr>
                <w:rFonts w:hint="eastAsia" w:ascii="宋体" w:hAnsi="宋体" w:eastAsia="宋体" w:cs="宋体"/>
                <w:iCs/>
                <w:sz w:val="24"/>
                <w:szCs w:val="24"/>
              </w:rPr>
            </w:pPr>
            <w:r>
              <w:rPr>
                <w:rFonts w:hint="eastAsia" w:ascii="宋体" w:hAnsi="宋体" w:eastAsia="宋体" w:cs="宋体"/>
                <w:iCs/>
                <w:sz w:val="24"/>
                <w:szCs w:val="24"/>
              </w:rPr>
              <w:t>（1）向</w:t>
            </w:r>
            <w:r>
              <w:rPr>
                <w:rFonts w:hint="eastAsia" w:ascii="宋体" w:hAnsi="宋体" w:eastAsia="宋体" w:cs="宋体"/>
                <w:iCs/>
                <w:sz w:val="24"/>
                <w:szCs w:val="24"/>
                <w:u w:val="single"/>
              </w:rPr>
              <w:t xml:space="preserve">                    </w:t>
            </w:r>
            <w:r>
              <w:rPr>
                <w:rFonts w:hint="eastAsia" w:ascii="宋体" w:hAnsi="宋体" w:eastAsia="宋体" w:cs="宋体"/>
                <w:iCs/>
                <w:sz w:val="24"/>
                <w:szCs w:val="24"/>
              </w:rPr>
              <w:t>仲裁委员会申请仲裁，仲裁地点为</w:t>
            </w:r>
            <w:r>
              <w:rPr>
                <w:rFonts w:hint="eastAsia" w:ascii="宋体" w:hAnsi="宋体" w:eastAsia="宋体" w:cs="宋体"/>
                <w:iCs/>
                <w:sz w:val="24"/>
                <w:szCs w:val="24"/>
                <w:u w:val="single"/>
              </w:rPr>
              <w:t xml:space="preserve">           </w:t>
            </w:r>
            <w:r>
              <w:rPr>
                <w:rFonts w:hint="eastAsia" w:ascii="宋体" w:hAnsi="宋体" w:eastAsia="宋体" w:cs="宋体"/>
                <w:iCs/>
                <w:sz w:val="24"/>
                <w:szCs w:val="24"/>
              </w:rPr>
              <w:t>；</w:t>
            </w:r>
          </w:p>
          <w:p w14:paraId="1A58D5D8">
            <w:pPr>
              <w:adjustRightInd w:val="0"/>
              <w:snapToGrid w:val="0"/>
              <w:jc w:val="left"/>
              <w:rPr>
                <w:rFonts w:hint="eastAsia" w:ascii="宋体" w:hAnsi="宋体" w:eastAsia="宋体" w:cs="宋体"/>
                <w:sz w:val="24"/>
                <w:szCs w:val="24"/>
                <w:u w:val="single"/>
              </w:rPr>
            </w:pPr>
            <w:r>
              <w:rPr>
                <w:rFonts w:hint="eastAsia" w:ascii="宋体" w:hAnsi="宋体" w:eastAsia="宋体" w:cs="宋体"/>
                <w:iCs/>
                <w:sz w:val="24"/>
                <w:szCs w:val="24"/>
              </w:rPr>
              <w:t>（2）向</w:t>
            </w:r>
            <w:r>
              <w:rPr>
                <w:rFonts w:hint="eastAsia" w:ascii="宋体" w:hAnsi="宋体" w:eastAsia="宋体" w:cs="宋体"/>
                <w:iCs/>
                <w:sz w:val="24"/>
                <w:szCs w:val="24"/>
                <w:u w:val="single"/>
              </w:rPr>
              <w:t xml:space="preserve">                    </w:t>
            </w:r>
            <w:r>
              <w:rPr>
                <w:rFonts w:hint="eastAsia" w:ascii="宋体" w:hAnsi="宋体" w:eastAsia="宋体" w:cs="宋体"/>
                <w:iCs/>
                <w:sz w:val="24"/>
                <w:szCs w:val="24"/>
              </w:rPr>
              <w:t>人民法院起诉。</w:t>
            </w:r>
          </w:p>
        </w:tc>
      </w:tr>
      <w:tr w14:paraId="06343A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969" w:type="dxa"/>
            <w:noWrap w:val="0"/>
            <w:vAlign w:val="center"/>
          </w:tcPr>
          <w:p w14:paraId="081BE5C4">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第二节</w:t>
            </w:r>
          </w:p>
          <w:p w14:paraId="6319247F">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第23.1款</w:t>
            </w:r>
          </w:p>
        </w:tc>
        <w:tc>
          <w:tcPr>
            <w:tcW w:w="2053" w:type="dxa"/>
            <w:noWrap w:val="0"/>
            <w:vAlign w:val="center"/>
          </w:tcPr>
          <w:p w14:paraId="0CA1F3C6">
            <w:pPr>
              <w:adjustRightInd w:val="0"/>
              <w:snapToGrid w:val="0"/>
              <w:jc w:val="left"/>
              <w:rPr>
                <w:rFonts w:hint="eastAsia" w:ascii="宋体" w:hAnsi="宋体" w:eastAsia="宋体" w:cs="宋体"/>
                <w:sz w:val="24"/>
                <w:szCs w:val="24"/>
              </w:rPr>
            </w:pPr>
            <w:r>
              <w:rPr>
                <w:rFonts w:hint="eastAsia" w:ascii="宋体" w:hAnsi="宋体" w:eastAsia="宋体" w:cs="宋体"/>
                <w:bCs/>
                <w:sz w:val="24"/>
                <w:szCs w:val="24"/>
              </w:rPr>
              <w:t>其他专用条款</w:t>
            </w:r>
          </w:p>
        </w:tc>
        <w:tc>
          <w:tcPr>
            <w:tcW w:w="4497" w:type="dxa"/>
            <w:noWrap w:val="0"/>
            <w:vAlign w:val="center"/>
          </w:tcPr>
          <w:p w14:paraId="4B10A705">
            <w:pPr>
              <w:adjustRightInd w:val="0"/>
              <w:snapToGrid w:val="0"/>
              <w:jc w:val="left"/>
              <w:rPr>
                <w:rFonts w:hint="eastAsia" w:ascii="宋体" w:hAnsi="宋体" w:eastAsia="宋体" w:cs="宋体"/>
                <w:sz w:val="24"/>
                <w:szCs w:val="24"/>
              </w:rPr>
            </w:pPr>
          </w:p>
        </w:tc>
      </w:tr>
    </w:tbl>
    <w:p w14:paraId="631C771E">
      <w:pPr>
        <w:rPr>
          <w:rFonts w:hint="eastAsia" w:ascii="宋体" w:hAnsi="宋体" w:eastAsia="宋体" w:cs="宋体"/>
          <w:sz w:val="24"/>
          <w:szCs w:val="24"/>
        </w:rPr>
      </w:pPr>
    </w:p>
    <w:p w14:paraId="5D3A1A9E">
      <w:pPr>
        <w:rPr>
          <w:rFonts w:hint="eastAsia" w:ascii="宋体" w:hAnsi="宋体" w:cs="宋体"/>
          <w:color w:val="000000" w:themeColor="text1"/>
          <w:sz w:val="24"/>
          <w:szCs w:val="24"/>
          <w:highlight w:val="none"/>
          <w14:textFill>
            <w14:solidFill>
              <w14:schemeClr w14:val="tx1"/>
            </w14:solidFill>
          </w14:textFill>
        </w:rPr>
      </w:pPr>
    </w:p>
    <w:p w14:paraId="39E98A35">
      <w:pPr>
        <w:pStyle w:val="114"/>
        <w:ind w:firstLine="480"/>
        <w:rPr>
          <w:rFonts w:hint="eastAsia" w:cs="宋体"/>
          <w:color w:val="000000" w:themeColor="text1"/>
          <w:sz w:val="24"/>
          <w:szCs w:val="24"/>
          <w:highlight w:val="none"/>
          <w14:textFill>
            <w14:solidFill>
              <w14:schemeClr w14:val="tx1"/>
            </w14:solidFill>
          </w14:textFill>
        </w:rPr>
      </w:pPr>
    </w:p>
    <w:p w14:paraId="5887519C">
      <w:pPr>
        <w:rPr>
          <w:rFonts w:hint="eastAsia" w:ascii="宋体" w:hAnsi="宋体" w:eastAsia="宋体" w:cs="Times New Roman"/>
          <w:b/>
          <w:bCs/>
          <w:color w:val="000000" w:themeColor="text1"/>
          <w:kern w:val="2"/>
          <w:sz w:val="36"/>
          <w:szCs w:val="36"/>
          <w:highlight w:val="none"/>
          <w:lang w:val="en-US" w:eastAsia="zh-CN" w:bidi="ar-SA"/>
          <w14:textFill>
            <w14:solidFill>
              <w14:schemeClr w14:val="tx1"/>
            </w14:solidFill>
          </w14:textFill>
        </w:rPr>
      </w:pPr>
      <w:bookmarkStart w:id="124" w:name="_Toc14781"/>
      <w:bookmarkEnd w:id="124"/>
      <w:bookmarkStart w:id="125" w:name="_Toc11572"/>
      <w:bookmarkStart w:id="126" w:name="_Toc31208"/>
      <w:r>
        <w:rPr>
          <w:rFonts w:hint="eastAsia" w:ascii="宋体" w:hAnsi="宋体" w:eastAsia="宋体" w:cs="Times New Roman"/>
          <w:b/>
          <w:bCs/>
          <w:color w:val="000000" w:themeColor="text1"/>
          <w:kern w:val="2"/>
          <w:sz w:val="36"/>
          <w:szCs w:val="36"/>
          <w:highlight w:val="none"/>
          <w:lang w:val="en-US" w:eastAsia="zh-CN" w:bidi="ar-SA"/>
          <w14:textFill>
            <w14:solidFill>
              <w14:schemeClr w14:val="tx1"/>
            </w14:solidFill>
          </w14:textFill>
        </w:rPr>
        <w:br w:type="page"/>
      </w:r>
    </w:p>
    <w:p w14:paraId="2890325B">
      <w:pPr>
        <w:numPr>
          <w:ilvl w:val="0"/>
          <w:numId w:val="0"/>
        </w:numPr>
        <w:jc w:val="center"/>
        <w:outlineLvl w:val="0"/>
        <w:rPr>
          <w:rFonts w:hint="eastAsia" w:ascii="宋体" w:hAnsi="宋体" w:cs="仿宋_GB2312"/>
          <w:b/>
          <w:bCs/>
          <w:color w:val="000000"/>
          <w:sz w:val="36"/>
          <w:szCs w:val="36"/>
          <w:lang w:eastAsia="zh-CN"/>
        </w:rPr>
      </w:pPr>
      <w:r>
        <w:rPr>
          <w:rFonts w:hint="eastAsia" w:ascii="宋体" w:hAnsi="宋体" w:eastAsia="宋体" w:cs="Times New Roman"/>
          <w:b/>
          <w:bCs/>
          <w:color w:val="000000" w:themeColor="text1"/>
          <w:kern w:val="2"/>
          <w:sz w:val="36"/>
          <w:szCs w:val="36"/>
          <w:highlight w:val="none"/>
          <w:lang w:val="en-US" w:eastAsia="zh-CN" w:bidi="ar-SA"/>
          <w14:textFill>
            <w14:solidFill>
              <w14:schemeClr w14:val="tx1"/>
            </w14:solidFill>
          </w14:textFill>
        </w:rPr>
        <w:t>第五章</w:t>
      </w:r>
      <w:r>
        <w:rPr>
          <w:rFonts w:hint="eastAsia" w:ascii="宋体" w:hAnsi="宋体" w:cs="Times New Roman"/>
          <w:b/>
          <w:bCs/>
          <w:color w:val="000000" w:themeColor="text1"/>
          <w:kern w:val="2"/>
          <w:sz w:val="36"/>
          <w:szCs w:val="36"/>
          <w:highlight w:val="none"/>
          <w:lang w:val="en-US" w:eastAsia="zh-CN" w:bidi="ar-SA"/>
          <w14:textFill>
            <w14:solidFill>
              <w14:schemeClr w14:val="tx1"/>
            </w14:solidFill>
          </w14:textFill>
        </w:rPr>
        <w:t xml:space="preserve">  </w:t>
      </w:r>
      <w:r>
        <w:rPr>
          <w:rFonts w:hint="eastAsia" w:ascii="宋体" w:hAnsi="宋体"/>
          <w:b/>
          <w:bCs/>
          <w:color w:val="000000" w:themeColor="text1"/>
          <w:sz w:val="36"/>
          <w:szCs w:val="36"/>
          <w:highlight w:val="none"/>
          <w14:textFill>
            <w14:solidFill>
              <w14:schemeClr w14:val="tx1"/>
            </w14:solidFill>
          </w14:textFill>
        </w:rPr>
        <w:t>采购需求</w:t>
      </w:r>
      <w:bookmarkEnd w:id="125"/>
      <w:bookmarkEnd w:id="126"/>
    </w:p>
    <w:p w14:paraId="4DF64F85">
      <w:pPr>
        <w:spacing w:line="500" w:lineRule="exact"/>
        <w:jc w:val="center"/>
        <w:rPr>
          <w:rFonts w:hint="default" w:ascii="宋体" w:hAnsi="宋体" w:cs="仿宋_GB2312" w:eastAsiaTheme="minorEastAsia"/>
          <w:b/>
          <w:bCs/>
          <w:color w:val="000000"/>
          <w:sz w:val="28"/>
          <w:szCs w:val="28"/>
          <w:lang w:val="en-US" w:eastAsia="zh-CN"/>
        </w:rPr>
      </w:pPr>
      <w:r>
        <w:rPr>
          <w:rFonts w:hint="eastAsia" w:ascii="宋体" w:hAnsi="宋体" w:cs="仿宋_GB2312"/>
          <w:b/>
          <w:bCs/>
          <w:color w:val="000000"/>
          <w:sz w:val="28"/>
          <w:szCs w:val="28"/>
          <w:lang w:val="en-US" w:eastAsia="zh-CN"/>
        </w:rPr>
        <w:t>设备</w:t>
      </w:r>
      <w:r>
        <w:rPr>
          <w:rFonts w:hint="eastAsia" w:ascii="宋体" w:hAnsi="宋体" w:cs="仿宋_GB2312"/>
          <w:b/>
          <w:bCs/>
          <w:color w:val="000000"/>
          <w:sz w:val="28"/>
          <w:szCs w:val="28"/>
        </w:rPr>
        <w:t>清单</w:t>
      </w:r>
      <w:r>
        <w:rPr>
          <w:rFonts w:hint="eastAsia" w:ascii="宋体" w:hAnsi="宋体" w:cs="仿宋_GB2312"/>
          <w:b/>
          <w:bCs/>
          <w:color w:val="000000"/>
          <w:sz w:val="28"/>
          <w:szCs w:val="28"/>
          <w:lang w:val="en-US" w:eastAsia="zh-CN"/>
        </w:rPr>
        <w:t>及主要参数</w:t>
      </w:r>
    </w:p>
    <w:tbl>
      <w:tblPr>
        <w:tblStyle w:val="22"/>
        <w:tblpPr w:leftFromText="180" w:rightFromText="180" w:vertAnchor="text" w:horzAnchor="page" w:tblpXSpec="center" w:tblpY="341"/>
        <w:tblOverlap w:val="never"/>
        <w:tblW w:w="544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8"/>
        <w:gridCol w:w="7"/>
        <w:gridCol w:w="857"/>
        <w:gridCol w:w="7480"/>
        <w:gridCol w:w="462"/>
        <w:gridCol w:w="8"/>
        <w:gridCol w:w="587"/>
      </w:tblGrid>
      <w:tr w14:paraId="0261E6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5000" w:type="pct"/>
            <w:gridSpan w:val="7"/>
            <w:tcBorders>
              <w:tl2br w:val="nil"/>
              <w:tr2bl w:val="nil"/>
            </w:tcBorders>
            <w:vAlign w:val="center"/>
          </w:tcPr>
          <w:p w14:paraId="35D3023C">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i w:val="0"/>
                <w:iCs w:val="0"/>
                <w:color w:val="auto"/>
                <w:kern w:val="0"/>
                <w:sz w:val="21"/>
                <w:szCs w:val="21"/>
                <w:highlight w:val="none"/>
                <w:u w:val="none"/>
                <w:lang w:val="en-US" w:eastAsia="zh-CN" w:bidi="ar"/>
              </w:rPr>
              <w:t>一、直播间硬件部分(3个直播间)</w:t>
            </w:r>
          </w:p>
        </w:tc>
      </w:tr>
      <w:tr w14:paraId="2898A4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327" w:type="pct"/>
            <w:tcBorders>
              <w:tl2br w:val="nil"/>
              <w:tr2bl w:val="nil"/>
            </w:tcBorders>
            <w:vAlign w:val="center"/>
          </w:tcPr>
          <w:p w14:paraId="4F9606A9">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429" w:type="pct"/>
            <w:gridSpan w:val="2"/>
            <w:tcBorders>
              <w:tl2br w:val="nil"/>
              <w:tr2bl w:val="nil"/>
            </w:tcBorders>
            <w:vAlign w:val="center"/>
          </w:tcPr>
          <w:p w14:paraId="5D94B2D2">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设备名称</w:t>
            </w:r>
          </w:p>
        </w:tc>
        <w:tc>
          <w:tcPr>
            <w:tcW w:w="3718" w:type="pct"/>
            <w:tcBorders>
              <w:tl2br w:val="nil"/>
              <w:tr2bl w:val="nil"/>
            </w:tcBorders>
            <w:vAlign w:val="center"/>
          </w:tcPr>
          <w:p w14:paraId="39F32837">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参数要求</w:t>
            </w:r>
          </w:p>
        </w:tc>
        <w:tc>
          <w:tcPr>
            <w:tcW w:w="229" w:type="pct"/>
            <w:tcBorders>
              <w:tl2br w:val="nil"/>
              <w:tr2bl w:val="nil"/>
            </w:tcBorders>
            <w:vAlign w:val="center"/>
          </w:tcPr>
          <w:p w14:paraId="57CF0A60">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数量</w:t>
            </w:r>
          </w:p>
        </w:tc>
        <w:tc>
          <w:tcPr>
            <w:tcW w:w="295" w:type="pct"/>
            <w:gridSpan w:val="2"/>
            <w:tcBorders>
              <w:tl2br w:val="nil"/>
              <w:tr2bl w:val="nil"/>
            </w:tcBorders>
            <w:vAlign w:val="center"/>
          </w:tcPr>
          <w:p w14:paraId="7D44F5D7">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单位</w:t>
            </w:r>
          </w:p>
        </w:tc>
      </w:tr>
      <w:tr w14:paraId="5D00BE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13" w:hRule="atLeast"/>
          <w:jc w:val="center"/>
        </w:trPr>
        <w:tc>
          <w:tcPr>
            <w:tcW w:w="327" w:type="pct"/>
            <w:tcBorders>
              <w:tl2br w:val="nil"/>
              <w:tr2bl w:val="nil"/>
            </w:tcBorders>
            <w:vAlign w:val="center"/>
          </w:tcPr>
          <w:p w14:paraId="667F87E2">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429" w:type="pct"/>
            <w:gridSpan w:val="2"/>
            <w:tcBorders>
              <w:tl2br w:val="nil"/>
              <w:tr2bl w:val="nil"/>
            </w:tcBorders>
            <w:vAlign w:val="center"/>
          </w:tcPr>
          <w:p w14:paraId="15AB75DA">
            <w:pPr>
              <w:keepNext w:val="0"/>
              <w:keepLines w:val="0"/>
              <w:pageBreakBefore w:val="0"/>
              <w:numPr>
                <w:ilvl w:val="0"/>
                <w:numId w:val="0"/>
              </w:numPr>
              <w:kinsoku/>
              <w:wordWrap/>
              <w:overflowPunct/>
              <w:topLinePunct w:val="0"/>
              <w:autoSpaceDE/>
              <w:autoSpaceDN/>
              <w:bidi w:val="0"/>
              <w:adjustRightInd/>
              <w:snapToGrid/>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直播智能终端</w:t>
            </w:r>
          </w:p>
        </w:tc>
        <w:tc>
          <w:tcPr>
            <w:tcW w:w="3718" w:type="pct"/>
            <w:tcBorders>
              <w:tl2br w:val="nil"/>
              <w:tr2bl w:val="nil"/>
            </w:tcBorders>
            <w:vAlign w:val="center"/>
          </w:tcPr>
          <w:p w14:paraId="3084EEAC">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直播主机：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1、一体化双23.8寸高清屏操作，支持主播及运营同时使用，支持双摄像机配置，支持主播实训练习及产品特写同时直播，丰富直播内容和形式。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2、采用PC运行架构设计，配置显卡，≥4G显存，提供更好的直播体验。</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3、本产品的双屏显示可以提供优质的视觉效果和操作便利性，双屏显示可以让主播在一个屏幕上直播自己的形象和声音，另一个屏幕上显示直播的内容和互动</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还可以让主播根据需要调整屏幕的高度、角度和方向，以适应不同的直播场景和需求。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u w:val="none"/>
                <w:lang w:val="en-US" w:eastAsia="zh-CN" w:bidi="ar"/>
              </w:rPr>
              <w:t>配置双DDR4高速内存和M.2 SSD固态硬盘，内存≥16G；双通道内存提升系统的运行速度和多任务处理能力；存储空间为≥512G M.2 SSD，可以存储大量的视频和文件，满足直播和娱乐的需求。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、丰富的扩展接口：具备≥4个USB数据传输接口</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≥2*USB3.0 ≥2*USB2.0</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；丰富的音视频接口，包括≥2个HDMI视频输出</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≥1个DP视频输出</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可以与多种外部设备和网络进行连接和交互，扩展直播功能和场景。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、双高清屏配置：≥23.8寸防蓝光专业护眼模式，可升降旋转，刷新率为75Hz IPS屏，具备160°至180°间的广视角，分辨率为1920*1080，屏幕比例 16:9（宽屏），高清标准1080p（全高清）。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、IPS屏幕可以提供宽广的视角范围，都不会出现画面失真或颜色偏移。无论是横向还是纵向观看，都可以保持一致的对比度和亮度。可以提供优质的视觉效果和操作便利性，可以享受高清画质和多功能操作。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、配套：配套导播切控器、无线键鼠各一套。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数字化导播系统：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1、数字导播：可通过一键操作，实现场景切换、直播贴片、多机位特写、产品信息展示、画中画等功能，满足多样化直播需求。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2、自定义对话框&amp;提词器：可灵活调整对话框、提词器在直播屏的显示大小，适配不同的主播视野要求。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3、自定义导播切控器热键：可以通过对导播切控器自主设置，灵活定义不同热键，直达直播场景。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4、具备手机切控功能，支持局域网内通过手机实时控制导播软件中素材场景及多机位切换，并支持上传素材到直播主机端。</w:t>
            </w:r>
          </w:p>
          <w:p w14:paraId="3F90D45F">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5、具备绿幕抠像+沉浸式体验：专业绿幕实时抠像</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可充分利用图片、视频、三维、VR等方式，实现虚拟场景的自由切换。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6、场控后台+主播直播一体化：一套设备同时满足主播和场控同时使用，即可实现主屏主播实时直播，副屏后台直播数据实时监控、产品卖点上链接、引流投放、与主播互动等功能。</w:t>
            </w:r>
            <w:r>
              <w:rPr>
                <w:rFonts w:hint="eastAsia" w:ascii="宋体" w:hAnsi="宋体" w:eastAsia="宋体" w:cs="宋体"/>
                <w:i w:val="0"/>
                <w:iCs w:val="0"/>
                <w:color w:val="auto"/>
                <w:kern w:val="0"/>
                <w:sz w:val="21"/>
                <w:szCs w:val="21"/>
                <w:u w:val="none"/>
                <w:lang w:val="en-US" w:eastAsia="zh-CN" w:bidi="ar"/>
              </w:rPr>
              <w:t>（提供功能截图或彩页资料复印件并加盖厂家公章）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7、多平台直播：兼容多平台直播，同步推流，无缝对接公域和私域直播渠道，借助视频云服务器，通过线下云展示终端，实现同步直播展现。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8、为保证系统的兼容性和拓展性，要求主机必须采用X86架构设计，要求本系统为一体化设计设备。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9、支持单张图像直播，也可支持图像幻灯片放映，循环或者顺序播放多张图片，适用于会议、教育类课件直播；支持实时动态捕捉摄像设备，可将摄像后的画面进行直播。</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10、支持进行纯音频直播，支持实时动态捕捉电脑桌面的操作，电脑桌面中所有的操作均执行直播。</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11、支持上传本地视频，并本地点播视频文件进行直播化处理；支持实时添加文字在直播窗口中。</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12、支持添加多条点播视频文件进行直播，可设置视频顺序及播放行为；支持PPT、视频、图片任意添加。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13、实时的抠像技术：实时抠像，高品质色键效果，可对蓝色和绿色背景进行实时抠像，并且可以根据灯光进行容差高低值的微调</w:t>
            </w:r>
            <w:r>
              <w:rPr>
                <w:rFonts w:hint="eastAsia" w:ascii="宋体" w:hAnsi="宋体" w:cs="宋体"/>
                <w:i w:val="0"/>
                <w:iCs w:val="0"/>
                <w:color w:val="auto"/>
                <w:kern w:val="0"/>
                <w:sz w:val="21"/>
                <w:szCs w:val="21"/>
                <w:highlight w:val="none"/>
                <w:u w:val="none"/>
                <w:lang w:val="en-US" w:eastAsia="zh-CN" w:bidi="ar"/>
              </w:rPr>
              <w:t>以</w:t>
            </w:r>
            <w:r>
              <w:rPr>
                <w:rFonts w:hint="eastAsia" w:ascii="宋体" w:hAnsi="宋体" w:eastAsia="宋体" w:cs="宋体"/>
                <w:i w:val="0"/>
                <w:iCs w:val="0"/>
                <w:color w:val="auto"/>
                <w:kern w:val="0"/>
                <w:sz w:val="21"/>
                <w:szCs w:val="21"/>
                <w:highlight w:val="none"/>
                <w:u w:val="none"/>
                <w:lang w:val="en-US" w:eastAsia="zh-CN" w:bidi="ar"/>
              </w:rPr>
              <w:t>达到更佳效果。可针对4路实时信号同时进行抠像；且可以根据蓝箱的大小，进行裁切以实现无限蓝箱的效果。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14、系统提供横屏/竖屏两种合成方式切换，横屏方式采用16:9画幅比例。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系统提供产品预设功能，可根据产品的类型，提前预设各个产品模板，可预设的内容包括背景、前景、特效、产品资料、视频信号等，预设完成后，可保存为产品模板，后期使用时快速调用，模板内容可修改另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16、每个产品模板均可进行新建或修改，上下调整模板顺序。系统支持对多个产品模板进行编组，根据产品类型，设定分组，并对分组统一进行排序、重命名等管理。</w:t>
            </w:r>
          </w:p>
        </w:tc>
        <w:tc>
          <w:tcPr>
            <w:tcW w:w="229" w:type="pct"/>
            <w:tcBorders>
              <w:tl2br w:val="nil"/>
              <w:tr2bl w:val="nil"/>
            </w:tcBorders>
            <w:vAlign w:val="center"/>
          </w:tcPr>
          <w:p w14:paraId="0096563F">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295" w:type="pct"/>
            <w:gridSpan w:val="2"/>
            <w:tcBorders>
              <w:tl2br w:val="nil"/>
              <w:tr2bl w:val="nil"/>
            </w:tcBorders>
            <w:vAlign w:val="center"/>
          </w:tcPr>
          <w:p w14:paraId="75B25532">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r>
      <w:tr w14:paraId="430E96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89" w:hRule="atLeast"/>
          <w:jc w:val="center"/>
        </w:trPr>
        <w:tc>
          <w:tcPr>
            <w:tcW w:w="327" w:type="pct"/>
            <w:tcBorders>
              <w:tl2br w:val="nil"/>
              <w:tr2bl w:val="nil"/>
            </w:tcBorders>
            <w:vAlign w:val="center"/>
          </w:tcPr>
          <w:p w14:paraId="3F1E7B6C">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429" w:type="pct"/>
            <w:gridSpan w:val="2"/>
            <w:tcBorders>
              <w:tl2br w:val="nil"/>
              <w:tr2bl w:val="nil"/>
            </w:tcBorders>
            <w:vAlign w:val="center"/>
          </w:tcPr>
          <w:p w14:paraId="7CAE5043">
            <w:pPr>
              <w:keepNext w:val="0"/>
              <w:keepLines w:val="0"/>
              <w:pageBreakBefore w:val="0"/>
              <w:numPr>
                <w:ilvl w:val="0"/>
                <w:numId w:val="0"/>
              </w:numPr>
              <w:kinsoku/>
              <w:wordWrap/>
              <w:overflowPunct/>
              <w:topLinePunct w:val="0"/>
              <w:autoSpaceDE/>
              <w:autoSpaceDN/>
              <w:bidi w:val="0"/>
              <w:adjustRightInd/>
              <w:snapToGrid/>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高清摄像机</w:t>
            </w:r>
          </w:p>
        </w:tc>
        <w:tc>
          <w:tcPr>
            <w:tcW w:w="3718" w:type="pct"/>
            <w:tcBorders>
              <w:tl2br w:val="nil"/>
              <w:tr2bl w:val="nil"/>
            </w:tcBorders>
            <w:vAlign w:val="center"/>
          </w:tcPr>
          <w:p w14:paraId="756E104A">
            <w:pPr>
              <w:keepNext w:val="0"/>
              <w:keepLines w:val="0"/>
              <w:pageBreakBefore w:val="0"/>
              <w:widowControl/>
              <w:numPr>
                <w:ilvl w:val="0"/>
                <w:numId w:val="0"/>
              </w:numPr>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高清摄像机：</w:t>
            </w:r>
          </w:p>
          <w:p w14:paraId="16C8E22D">
            <w:pPr>
              <w:keepNext w:val="0"/>
              <w:keepLines w:val="0"/>
              <w:pageBreakBefore w:val="0"/>
              <w:widowControl/>
              <w:numPr>
                <w:ilvl w:val="0"/>
                <w:numId w:val="0"/>
              </w:numPr>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≥500万高清晰度传感器，宽动态高清摄像机。</w:t>
            </w:r>
          </w:p>
          <w:p w14:paraId="217705A6">
            <w:pPr>
              <w:keepNext w:val="0"/>
              <w:keepLines w:val="0"/>
              <w:pageBreakBefore w:val="0"/>
              <w:widowControl/>
              <w:numPr>
                <w:ilvl w:val="0"/>
                <w:numId w:val="0"/>
              </w:numPr>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内置ISP3.0 3D降噪高性能的影像处理器，集成最新ISP影像处理算法。</w:t>
            </w:r>
          </w:p>
          <w:p w14:paraId="1DD7532F">
            <w:pPr>
              <w:keepNext w:val="0"/>
              <w:keepLines w:val="0"/>
              <w:pageBreakBefore w:val="0"/>
              <w:widowControl/>
              <w:numPr>
                <w:ilvl w:val="0"/>
                <w:numId w:val="0"/>
              </w:numPr>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不低于10倍光学变焦直播专业镜头组：具备10x光学放大镜头，67.5度无畸变 F1.76~F3.0。</w:t>
            </w:r>
          </w:p>
          <w:p w14:paraId="28FACEE0">
            <w:pPr>
              <w:keepNext w:val="0"/>
              <w:keepLines w:val="0"/>
              <w:pageBreakBefore w:val="0"/>
              <w:widowControl/>
              <w:numPr>
                <w:ilvl w:val="0"/>
                <w:numId w:val="0"/>
              </w:numPr>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搭配多点动态TOF激光对焦辅助传感器，动态极速稳定对焦。</w:t>
            </w:r>
          </w:p>
          <w:p w14:paraId="172D3EB9">
            <w:pPr>
              <w:keepNext w:val="0"/>
              <w:keepLines w:val="0"/>
              <w:pageBreakBefore w:val="0"/>
              <w:widowControl/>
              <w:numPr>
                <w:ilvl w:val="0"/>
                <w:numId w:val="0"/>
              </w:numPr>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支持UVC1.0标准协议，视频信号输出支持USB2.0 : MJPG/YUY2格式，可输出9：16的竖屏分辨率，包括1080x1920、720x1280，HDMI：1080P及720P。</w:t>
            </w:r>
          </w:p>
          <w:p w14:paraId="4008560B">
            <w:pPr>
              <w:keepNext w:val="0"/>
              <w:keepLines w:val="0"/>
              <w:pageBreakBefore w:val="0"/>
              <w:widowControl/>
              <w:numPr>
                <w:ilvl w:val="0"/>
                <w:numId w:val="0"/>
              </w:numPr>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配件：落地支架、遥控器、电源线等。</w:t>
            </w:r>
          </w:p>
        </w:tc>
        <w:tc>
          <w:tcPr>
            <w:tcW w:w="229" w:type="pct"/>
            <w:tcBorders>
              <w:tl2br w:val="nil"/>
              <w:tr2bl w:val="nil"/>
            </w:tcBorders>
            <w:vAlign w:val="center"/>
          </w:tcPr>
          <w:p w14:paraId="6FD31F64">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295" w:type="pct"/>
            <w:gridSpan w:val="2"/>
            <w:tcBorders>
              <w:tl2br w:val="nil"/>
              <w:tr2bl w:val="nil"/>
            </w:tcBorders>
            <w:vAlign w:val="center"/>
          </w:tcPr>
          <w:p w14:paraId="2C950118">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r>
      <w:tr w14:paraId="1D35D5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82" w:hRule="atLeast"/>
          <w:jc w:val="center"/>
        </w:trPr>
        <w:tc>
          <w:tcPr>
            <w:tcW w:w="327" w:type="pct"/>
            <w:tcBorders>
              <w:tl2br w:val="nil"/>
              <w:tr2bl w:val="nil"/>
            </w:tcBorders>
            <w:vAlign w:val="center"/>
          </w:tcPr>
          <w:p w14:paraId="6961C65F">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429" w:type="pct"/>
            <w:gridSpan w:val="2"/>
            <w:tcBorders>
              <w:tl2br w:val="nil"/>
              <w:tr2bl w:val="nil"/>
            </w:tcBorders>
            <w:vAlign w:val="center"/>
          </w:tcPr>
          <w:p w14:paraId="1A1237CD">
            <w:pPr>
              <w:keepNext w:val="0"/>
              <w:keepLines w:val="0"/>
              <w:pageBreakBefore w:val="0"/>
              <w:numPr>
                <w:ilvl w:val="0"/>
                <w:numId w:val="0"/>
              </w:numPr>
              <w:kinsoku/>
              <w:wordWrap/>
              <w:overflowPunct/>
              <w:topLinePunct w:val="0"/>
              <w:autoSpaceDE/>
              <w:autoSpaceDN/>
              <w:bidi w:val="0"/>
              <w:adjustRightInd/>
              <w:snapToGrid/>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有线话咪</w:t>
            </w:r>
          </w:p>
        </w:tc>
        <w:tc>
          <w:tcPr>
            <w:tcW w:w="3718" w:type="pct"/>
            <w:tcBorders>
              <w:tl2br w:val="nil"/>
              <w:tr2bl w:val="nil"/>
            </w:tcBorders>
            <w:vAlign w:val="center"/>
          </w:tcPr>
          <w:p w14:paraId="77EC7FF7">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有线话咪: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驻极体电容心形指向性话筒，工作电流5V / 100mA-230mA，频率响应：20Hz-20KHz</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电脑录音采样/比特率：最大48kHz/24 位，灵敏度：-2dBFS(1kHz 时为1V/Pa)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噪声（RMS)：-59dBFS，兼容性：Windows / mac  / OS/PS4</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最大声压级：97dBSPL(1kHz/THD+N 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信噪比 （耳机3.5/32欧）61dB(1KHz/THD+N 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具备静音，控制，麦克风增益调节，耳机监听、耳机音量调节等功能</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LED灯光：8色可调（单色+RGB)</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具备Windows / mac  PC端可编程软件，USB/Type-c 双接口连接线，使用PC/Mac端的专业音频控制软件，进行麦克风高级音频设置等调节，实时调整麦克风各种功能和状态，扩展声音体验</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三合一多功能旋钮</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一键解决静音</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增益</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监听调节</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麦克风配备控制声音动态范围的专业压缩器技术，限制收录音频的动态范围，强大的超低噪声变压器技术能有效降低环境音等干扰。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11、</w:t>
            </w:r>
            <w:r>
              <w:rPr>
                <w:rFonts w:hint="eastAsia" w:ascii="宋体" w:hAnsi="宋体" w:eastAsia="宋体" w:cs="宋体"/>
                <w:i w:val="0"/>
                <w:iCs w:val="0"/>
                <w:color w:val="auto"/>
                <w:kern w:val="0"/>
                <w:sz w:val="21"/>
                <w:szCs w:val="21"/>
                <w:highlight w:val="none"/>
                <w:u w:val="none"/>
                <w:lang w:val="en-US" w:eastAsia="zh-CN" w:bidi="ar"/>
              </w:rPr>
              <w:t>搭载专业收音限制器技术，智能调控信号强度，自动调节音量过大导致的声音失真爆音，激情时刻声音输出依旧稳健。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12、</w:t>
            </w:r>
            <w:r>
              <w:rPr>
                <w:rFonts w:hint="eastAsia" w:ascii="宋体" w:hAnsi="宋体" w:eastAsia="宋体" w:cs="宋体"/>
                <w:i w:val="0"/>
                <w:iCs w:val="0"/>
                <w:color w:val="auto"/>
                <w:kern w:val="0"/>
                <w:sz w:val="21"/>
                <w:szCs w:val="21"/>
                <w:highlight w:val="none"/>
                <w:u w:val="none"/>
                <w:lang w:val="en-US" w:eastAsia="zh-CN" w:bidi="ar"/>
              </w:rPr>
              <w:t>麦克风采用多功能旋钮按键，一键控制增益，调整麦克风收音距离;长按切换调节监听耳机音量;短按一键静音，轻松操作随心控制。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13、</w:t>
            </w:r>
            <w:r>
              <w:rPr>
                <w:rFonts w:hint="eastAsia" w:ascii="宋体" w:hAnsi="宋体" w:eastAsia="宋体" w:cs="宋体"/>
                <w:i w:val="0"/>
                <w:iCs w:val="0"/>
                <w:color w:val="auto"/>
                <w:kern w:val="0"/>
                <w:sz w:val="21"/>
                <w:szCs w:val="21"/>
                <w:highlight w:val="none"/>
                <w:u w:val="none"/>
                <w:lang w:val="en-US" w:eastAsia="zh-CN" w:bidi="ar"/>
              </w:rPr>
              <w:t>麦克风角度可调，金属加重减震底座设计，底部配备亲肤防滑硅胶，有效降低敲击和碰撞引起的振动稳定传输。</w:t>
            </w:r>
          </w:p>
        </w:tc>
        <w:tc>
          <w:tcPr>
            <w:tcW w:w="229" w:type="pct"/>
            <w:tcBorders>
              <w:tl2br w:val="nil"/>
              <w:tr2bl w:val="nil"/>
            </w:tcBorders>
            <w:vAlign w:val="center"/>
          </w:tcPr>
          <w:p w14:paraId="20CA836D">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295" w:type="pct"/>
            <w:gridSpan w:val="2"/>
            <w:tcBorders>
              <w:tl2br w:val="nil"/>
              <w:tr2bl w:val="nil"/>
            </w:tcBorders>
            <w:vAlign w:val="center"/>
          </w:tcPr>
          <w:p w14:paraId="1075DF92">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r>
      <w:tr w14:paraId="48883D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327" w:type="pct"/>
            <w:tcBorders>
              <w:tl2br w:val="nil"/>
              <w:tr2bl w:val="nil"/>
            </w:tcBorders>
            <w:vAlign w:val="center"/>
          </w:tcPr>
          <w:p w14:paraId="6B6576A6">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429" w:type="pct"/>
            <w:gridSpan w:val="2"/>
            <w:tcBorders>
              <w:tl2br w:val="nil"/>
              <w:tr2bl w:val="nil"/>
            </w:tcBorders>
            <w:vAlign w:val="center"/>
          </w:tcPr>
          <w:p w14:paraId="7286C7B8">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无线麦克风</w:t>
            </w:r>
          </w:p>
        </w:tc>
        <w:tc>
          <w:tcPr>
            <w:tcW w:w="3718" w:type="pct"/>
            <w:tcBorders>
              <w:tl2br w:val="nil"/>
              <w:tr2bl w:val="nil"/>
            </w:tcBorders>
            <w:shd w:val="clear" w:color="auto" w:fill="auto"/>
            <w:vAlign w:val="center"/>
          </w:tcPr>
          <w:p w14:paraId="3A956134">
            <w:pPr>
              <w:keepNext w:val="0"/>
              <w:keepLines w:val="0"/>
              <w:pageBreakBefore w:val="0"/>
              <w:widowControl/>
              <w:numPr>
                <w:ilvl w:val="0"/>
                <w:numId w:val="0"/>
              </w:numPr>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一拖二充电套装，包含：充电盒*1、 TX发射器</w:t>
            </w:r>
            <w:r>
              <w:rPr>
                <w:rFonts w:hint="eastAsia" w:ascii="宋体" w:hAnsi="宋体" w:cs="宋体"/>
                <w:i w:val="0"/>
                <w:iCs w:val="0"/>
                <w:color w:val="auto"/>
                <w:kern w:val="0"/>
                <w:sz w:val="21"/>
                <w:szCs w:val="21"/>
                <w:highlight w:val="none"/>
                <w:u w:val="none"/>
                <w:lang w:val="en-US" w:eastAsia="zh-CN" w:bidi="ar"/>
              </w:rPr>
              <w:t>*2。</w:t>
            </w:r>
          </w:p>
          <w:p w14:paraId="6364416E">
            <w:pPr>
              <w:keepNext w:val="0"/>
              <w:keepLines w:val="0"/>
              <w:pageBreakBefore w:val="0"/>
              <w:widowControl/>
              <w:numPr>
                <w:ilvl w:val="0"/>
                <w:numId w:val="0"/>
              </w:numPr>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RX接收器*1、 防风罩*2、转接线材一批</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无线传输：2.4GHZ自适应</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指向性：全指向</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频率响应范围：20Hz</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20KHz</w:t>
            </w:r>
            <w:r>
              <w:rPr>
                <w:rFonts w:hint="eastAsia" w:ascii="宋体" w:hAnsi="宋体" w:cs="宋体"/>
                <w:i w:val="0"/>
                <w:iCs w:val="0"/>
                <w:color w:val="auto"/>
                <w:kern w:val="0"/>
                <w:sz w:val="21"/>
                <w:szCs w:val="21"/>
                <w:highlight w:val="none"/>
                <w:u w:val="none"/>
                <w:lang w:val="en-US" w:eastAsia="zh-CN" w:bidi="ar"/>
              </w:rPr>
              <w:t>。</w:t>
            </w:r>
          </w:p>
        </w:tc>
        <w:tc>
          <w:tcPr>
            <w:tcW w:w="229" w:type="pct"/>
            <w:tcBorders>
              <w:tl2br w:val="nil"/>
              <w:tr2bl w:val="nil"/>
            </w:tcBorders>
            <w:vAlign w:val="center"/>
          </w:tcPr>
          <w:p w14:paraId="7C32BF58">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295" w:type="pct"/>
            <w:gridSpan w:val="2"/>
            <w:tcBorders>
              <w:tl2br w:val="nil"/>
              <w:tr2bl w:val="nil"/>
            </w:tcBorders>
            <w:vAlign w:val="center"/>
          </w:tcPr>
          <w:p w14:paraId="135D463C">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r>
      <w:tr w14:paraId="7022BE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0" w:hRule="atLeast"/>
          <w:jc w:val="center"/>
        </w:trPr>
        <w:tc>
          <w:tcPr>
            <w:tcW w:w="327" w:type="pct"/>
            <w:tcBorders>
              <w:tl2br w:val="nil"/>
              <w:tr2bl w:val="nil"/>
            </w:tcBorders>
            <w:vAlign w:val="center"/>
          </w:tcPr>
          <w:p w14:paraId="4B76B447">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429" w:type="pct"/>
            <w:gridSpan w:val="2"/>
            <w:tcBorders>
              <w:tl2br w:val="nil"/>
              <w:tr2bl w:val="nil"/>
            </w:tcBorders>
            <w:vAlign w:val="center"/>
          </w:tcPr>
          <w:p w14:paraId="29448FE5">
            <w:pPr>
              <w:keepNext w:val="0"/>
              <w:keepLines w:val="0"/>
              <w:pageBreakBefore w:val="0"/>
              <w:numPr>
                <w:ilvl w:val="0"/>
                <w:numId w:val="0"/>
              </w:numPr>
              <w:kinsoku/>
              <w:wordWrap/>
              <w:overflowPunct/>
              <w:topLinePunct w:val="0"/>
              <w:autoSpaceDE/>
              <w:autoSpaceDN/>
              <w:bidi w:val="0"/>
              <w:adjustRightInd/>
              <w:snapToGrid/>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桌</w:t>
            </w:r>
            <w:r>
              <w:rPr>
                <w:rFonts w:hint="eastAsia" w:ascii="宋体" w:hAnsi="宋体" w:eastAsia="宋体" w:cs="宋体"/>
                <w:b w:val="0"/>
                <w:bCs w:val="0"/>
                <w:color w:val="auto"/>
                <w:sz w:val="21"/>
                <w:szCs w:val="21"/>
                <w:highlight w:val="none"/>
                <w:lang w:val="en-US" w:eastAsia="zh-CN"/>
              </w:rPr>
              <w:t>面式直播补光灯</w:t>
            </w:r>
          </w:p>
        </w:tc>
        <w:tc>
          <w:tcPr>
            <w:tcW w:w="3718" w:type="pct"/>
            <w:tcBorders>
              <w:tl2br w:val="nil"/>
              <w:tr2bl w:val="nil"/>
            </w:tcBorders>
            <w:vAlign w:val="center"/>
          </w:tcPr>
          <w:p w14:paraId="20BA1A84">
            <w:pPr>
              <w:keepNext w:val="0"/>
              <w:keepLines w:val="0"/>
              <w:pageBreakBefore w:val="0"/>
              <w:widowControl/>
              <w:numPr>
                <w:ilvl w:val="0"/>
                <w:numId w:val="0"/>
              </w:numPr>
              <w:suppressLineNumbers w:val="0"/>
              <w:wordWrap/>
              <w:topLinePunct w:val="0"/>
              <w:bidi w:val="0"/>
              <w:spacing w:line="44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桌面式增亮式补光灯，双灯套装，LED常亮型补光灯，柔光灯功率： 15W/24V/0.6-1.2A； 色温：3000K-7000K可选，冷光-冷暖光-暖光3种光效随意调 ；侧面发光技术，不伤眼。</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全屏补光无死角，五官更立体，三色温，9档亮度，一键切换。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高显指Ra&gt;95，高清真还原真实色彩。</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90°可调，可自由调节，前后拉伸远近可调，满足各种角度需求。</w:t>
            </w:r>
          </w:p>
          <w:p w14:paraId="3D324E97">
            <w:pPr>
              <w:keepNext w:val="0"/>
              <w:keepLines w:val="0"/>
              <w:pageBreakBefore w:val="0"/>
              <w:widowControl/>
              <w:numPr>
                <w:ilvl w:val="0"/>
                <w:numId w:val="0"/>
              </w:numPr>
              <w:suppressLineNumbers w:val="0"/>
              <w:wordWrap/>
              <w:topLinePunct w:val="0"/>
              <w:bidi w:val="0"/>
              <w:spacing w:line="440" w:lineRule="exact"/>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含配套桌面支架。</w:t>
            </w:r>
          </w:p>
        </w:tc>
        <w:tc>
          <w:tcPr>
            <w:tcW w:w="229" w:type="pct"/>
            <w:tcBorders>
              <w:tl2br w:val="nil"/>
              <w:tr2bl w:val="nil"/>
            </w:tcBorders>
            <w:vAlign w:val="center"/>
          </w:tcPr>
          <w:p w14:paraId="61BE16C6">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295" w:type="pct"/>
            <w:gridSpan w:val="2"/>
            <w:tcBorders>
              <w:tl2br w:val="nil"/>
              <w:tr2bl w:val="nil"/>
            </w:tcBorders>
            <w:vAlign w:val="center"/>
          </w:tcPr>
          <w:p w14:paraId="4FE4910C">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r>
      <w:tr w14:paraId="0BB946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63" w:hRule="atLeast"/>
          <w:jc w:val="center"/>
        </w:trPr>
        <w:tc>
          <w:tcPr>
            <w:tcW w:w="327" w:type="pct"/>
            <w:tcBorders>
              <w:tl2br w:val="nil"/>
              <w:tr2bl w:val="nil"/>
            </w:tcBorders>
            <w:vAlign w:val="center"/>
          </w:tcPr>
          <w:p w14:paraId="061F0FAD">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w:t>
            </w:r>
          </w:p>
        </w:tc>
        <w:tc>
          <w:tcPr>
            <w:tcW w:w="429" w:type="pct"/>
            <w:gridSpan w:val="2"/>
            <w:tcBorders>
              <w:tl2br w:val="nil"/>
              <w:tr2bl w:val="nil"/>
            </w:tcBorders>
            <w:vAlign w:val="center"/>
          </w:tcPr>
          <w:p w14:paraId="441C8A1E">
            <w:pPr>
              <w:keepNext w:val="0"/>
              <w:keepLines w:val="0"/>
              <w:pageBreakBefore w:val="0"/>
              <w:numPr>
                <w:ilvl w:val="0"/>
                <w:numId w:val="0"/>
              </w:numPr>
              <w:kinsoku/>
              <w:wordWrap/>
              <w:overflowPunct/>
              <w:topLinePunct w:val="0"/>
              <w:autoSpaceDE/>
              <w:autoSpaceDN/>
              <w:bidi w:val="0"/>
              <w:adjustRightInd/>
              <w:snapToGrid/>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落地式直播补光灯（双灯套装）</w:t>
            </w:r>
          </w:p>
        </w:tc>
        <w:tc>
          <w:tcPr>
            <w:tcW w:w="3718" w:type="pct"/>
            <w:tcBorders>
              <w:tl2br w:val="nil"/>
              <w:tr2bl w:val="nil"/>
            </w:tcBorders>
            <w:vAlign w:val="center"/>
          </w:tcPr>
          <w:p w14:paraId="3AED11EB">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≥220W LED补充灯+≥65CM柔光球双灯套装。</w:t>
            </w:r>
          </w:p>
          <w:p w14:paraId="1AD966E6">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功率:≥220W，显色指数:≥ 95，光通量: ≥16200LM；</w:t>
            </w:r>
          </w:p>
          <w:p w14:paraId="4E2DDBA0">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裸灯照度不低于: 1M:5500Lx  2M:1500Lx   3M:800Lx。</w:t>
            </w:r>
          </w:p>
          <w:p w14:paraId="73B1933B">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色温:≥ 5600K，光源: COB灯珠LED集成模组，调光范围: 10%-100%。</w:t>
            </w:r>
          </w:p>
          <w:p w14:paraId="6DE25358">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带有液晶屏，内置静音风扇，低于18分贝，内置温度传感器。</w:t>
            </w:r>
          </w:p>
          <w:p w14:paraId="0FAEB87D">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含配套落地大支架、遥控器、电源线等。</w:t>
            </w:r>
          </w:p>
        </w:tc>
        <w:tc>
          <w:tcPr>
            <w:tcW w:w="229" w:type="pct"/>
            <w:tcBorders>
              <w:tl2br w:val="nil"/>
              <w:tr2bl w:val="nil"/>
            </w:tcBorders>
            <w:vAlign w:val="center"/>
          </w:tcPr>
          <w:p w14:paraId="0920D870">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295" w:type="pct"/>
            <w:gridSpan w:val="2"/>
            <w:tcBorders>
              <w:tl2br w:val="nil"/>
              <w:tr2bl w:val="nil"/>
            </w:tcBorders>
            <w:vAlign w:val="center"/>
          </w:tcPr>
          <w:p w14:paraId="6C33D80B">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r>
      <w:tr w14:paraId="38BA1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327" w:type="pct"/>
            <w:tcBorders>
              <w:tl2br w:val="nil"/>
              <w:tr2bl w:val="nil"/>
            </w:tcBorders>
            <w:vAlign w:val="center"/>
          </w:tcPr>
          <w:p w14:paraId="0330BC50">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429" w:type="pct"/>
            <w:gridSpan w:val="2"/>
            <w:tcBorders>
              <w:tl2br w:val="nil"/>
              <w:tr2bl w:val="nil"/>
            </w:tcBorders>
            <w:vAlign w:val="center"/>
          </w:tcPr>
          <w:p w14:paraId="750889B2">
            <w:pPr>
              <w:keepNext w:val="0"/>
              <w:keepLines w:val="0"/>
              <w:pageBreakBefore w:val="0"/>
              <w:numPr>
                <w:ilvl w:val="0"/>
                <w:numId w:val="0"/>
              </w:numPr>
              <w:kinsoku/>
              <w:wordWrap/>
              <w:overflowPunct/>
              <w:topLinePunct w:val="0"/>
              <w:autoSpaceDE/>
              <w:autoSpaceDN/>
              <w:bidi w:val="0"/>
              <w:adjustRightInd/>
              <w:snapToGrid/>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抠像绿幕</w:t>
            </w:r>
          </w:p>
        </w:tc>
        <w:tc>
          <w:tcPr>
            <w:tcW w:w="3718" w:type="pct"/>
            <w:tcBorders>
              <w:tl2br w:val="nil"/>
              <w:tr2bl w:val="nil"/>
            </w:tcBorders>
            <w:vAlign w:val="center"/>
          </w:tcPr>
          <w:p w14:paraId="620F5EB9">
            <w:pPr>
              <w:keepNext w:val="0"/>
              <w:keepLines w:val="0"/>
              <w:pageBreakBefore w:val="0"/>
              <w:widowControl/>
              <w:suppressLineNumbers w:val="0"/>
              <w:wordWrap/>
              <w:topLinePunct w:val="0"/>
              <w:bidi w:val="0"/>
              <w:spacing w:line="4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订制抠像绿幕，2M*2M 折叠式专业抠像绿幕，可调高度，便携式包装。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平整加厚不透光，颜色纯正抠像干净</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无需安装提拉即可使用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铝合金轻薄外壳，防损设计特有双气压杆支撑转轴结构，使幕布升降稳定可在任意高度停留，随意调整可视面积。</w:t>
            </w:r>
          </w:p>
        </w:tc>
        <w:tc>
          <w:tcPr>
            <w:tcW w:w="229" w:type="pct"/>
            <w:tcBorders>
              <w:tl2br w:val="nil"/>
              <w:tr2bl w:val="nil"/>
            </w:tcBorders>
            <w:vAlign w:val="center"/>
          </w:tcPr>
          <w:p w14:paraId="421F98C7">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295" w:type="pct"/>
            <w:gridSpan w:val="2"/>
            <w:tcBorders>
              <w:tl2br w:val="nil"/>
              <w:tr2bl w:val="nil"/>
            </w:tcBorders>
            <w:vAlign w:val="center"/>
          </w:tcPr>
          <w:p w14:paraId="4BD04672">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r>
      <w:tr w14:paraId="09E676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56" w:hRule="atLeast"/>
          <w:jc w:val="center"/>
        </w:trPr>
        <w:tc>
          <w:tcPr>
            <w:tcW w:w="327" w:type="pct"/>
            <w:tcBorders>
              <w:tl2br w:val="nil"/>
              <w:tr2bl w:val="nil"/>
            </w:tcBorders>
            <w:vAlign w:val="center"/>
          </w:tcPr>
          <w:p w14:paraId="6244BCC3">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429" w:type="pct"/>
            <w:gridSpan w:val="2"/>
            <w:tcBorders>
              <w:tl2br w:val="nil"/>
              <w:tr2bl w:val="nil"/>
            </w:tcBorders>
            <w:vAlign w:val="center"/>
          </w:tcPr>
          <w:p w14:paraId="4837BD56">
            <w:pPr>
              <w:keepNext w:val="0"/>
              <w:keepLines w:val="0"/>
              <w:pageBreakBefore w:val="0"/>
              <w:numPr>
                <w:ilvl w:val="0"/>
                <w:numId w:val="0"/>
              </w:numPr>
              <w:kinsoku/>
              <w:wordWrap/>
              <w:overflowPunct/>
              <w:topLinePunct w:val="0"/>
              <w:autoSpaceDE/>
              <w:autoSpaceDN/>
              <w:bidi w:val="0"/>
              <w:adjustRightInd/>
              <w:snapToGrid/>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直播专用桌</w:t>
            </w:r>
          </w:p>
        </w:tc>
        <w:tc>
          <w:tcPr>
            <w:tcW w:w="3718" w:type="pct"/>
            <w:tcBorders>
              <w:tl2br w:val="nil"/>
              <w:tr2bl w:val="nil"/>
            </w:tcBorders>
            <w:vAlign w:val="center"/>
          </w:tcPr>
          <w:p w14:paraId="6A49EAE3">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color w:val="auto"/>
                <w:sz w:val="21"/>
                <w:szCs w:val="21"/>
                <w:highlight w:val="none"/>
              </w:rPr>
            </w:pPr>
            <w:r>
              <w:rPr>
                <w:rFonts w:hint="eastAsia" w:ascii="宋体" w:hAnsi="宋体" w:cs="宋体"/>
                <w:i w:val="0"/>
                <w:iCs w:val="0"/>
                <w:color w:val="auto"/>
                <w:kern w:val="0"/>
                <w:sz w:val="21"/>
                <w:szCs w:val="21"/>
                <w:highlight w:val="none"/>
                <w:u w:val="none"/>
                <w:lang w:val="en-US" w:eastAsia="zh-CN" w:bidi="ar"/>
              </w:rPr>
              <w:t>根据实训场地情况，</w:t>
            </w:r>
            <w:r>
              <w:rPr>
                <w:rFonts w:hint="eastAsia" w:ascii="宋体" w:hAnsi="宋体" w:eastAsia="宋体" w:cs="宋体"/>
                <w:i w:val="0"/>
                <w:iCs w:val="0"/>
                <w:color w:val="auto"/>
                <w:kern w:val="0"/>
                <w:sz w:val="21"/>
                <w:szCs w:val="21"/>
                <w:highlight w:val="none"/>
                <w:u w:val="none"/>
                <w:lang w:val="en-US" w:eastAsia="zh-CN" w:bidi="ar"/>
              </w:rPr>
              <w:t>定制直播桌，配套两张宽口坐椅。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桌子：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简约直播双人桌</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材质</w:t>
            </w:r>
            <w:r>
              <w:rPr>
                <w:rFonts w:hint="eastAsia" w:ascii="宋体" w:hAnsi="宋体" w:cs="宋体"/>
                <w:i w:val="0"/>
                <w:iCs w:val="0"/>
                <w:color w:val="auto"/>
                <w:kern w:val="0"/>
                <w:sz w:val="21"/>
                <w:szCs w:val="21"/>
                <w:highlight w:val="none"/>
                <w:u w:val="none"/>
                <w:lang w:val="en-US" w:eastAsia="zh-CN" w:bidi="ar"/>
              </w:rPr>
              <w:t>为</w:t>
            </w:r>
            <w:r>
              <w:rPr>
                <w:rFonts w:hint="eastAsia" w:ascii="宋体" w:hAnsi="宋体" w:eastAsia="宋体" w:cs="宋体"/>
                <w:i w:val="0"/>
                <w:iCs w:val="0"/>
                <w:color w:val="auto"/>
                <w:kern w:val="0"/>
                <w:sz w:val="21"/>
                <w:szCs w:val="21"/>
                <w:highlight w:val="none"/>
                <w:u w:val="none"/>
                <w:lang w:val="en-US" w:eastAsia="zh-CN" w:bidi="ar"/>
              </w:rPr>
              <w:t>人造板</w:t>
            </w:r>
            <w:r>
              <w:rPr>
                <w:rFonts w:hint="eastAsia" w:ascii="宋体" w:hAnsi="宋体" w:cs="宋体"/>
                <w:i w:val="0"/>
                <w:iCs w:val="0"/>
                <w:color w:val="auto"/>
                <w:kern w:val="0"/>
                <w:sz w:val="21"/>
                <w:szCs w:val="21"/>
                <w:highlight w:val="none"/>
                <w:u w:val="none"/>
                <w:lang w:val="en-US" w:eastAsia="zh-CN" w:bidi="ar"/>
              </w:rPr>
              <w:t>+钢制架构。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椅子：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椅子外层主面料为环保透气网布机器精准裁剪，耐脏污，易擦洗，透气舒适，坐垫为高科技透气海绵机械精密切割，回弹性能高，透气性强不闷热。</w:t>
            </w:r>
          </w:p>
        </w:tc>
        <w:tc>
          <w:tcPr>
            <w:tcW w:w="229" w:type="pct"/>
            <w:tcBorders>
              <w:tl2br w:val="nil"/>
              <w:tr2bl w:val="nil"/>
            </w:tcBorders>
            <w:vAlign w:val="center"/>
          </w:tcPr>
          <w:p w14:paraId="217E0671">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295" w:type="pct"/>
            <w:gridSpan w:val="2"/>
            <w:tcBorders>
              <w:tl2br w:val="nil"/>
              <w:tr2bl w:val="nil"/>
            </w:tcBorders>
            <w:vAlign w:val="center"/>
          </w:tcPr>
          <w:p w14:paraId="466F4740">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r>
      <w:tr w14:paraId="2283C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27" w:type="pct"/>
            <w:tcBorders>
              <w:tl2br w:val="nil"/>
              <w:tr2bl w:val="nil"/>
            </w:tcBorders>
            <w:vAlign w:val="center"/>
          </w:tcPr>
          <w:p w14:paraId="74865A22">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9</w:t>
            </w:r>
          </w:p>
        </w:tc>
        <w:tc>
          <w:tcPr>
            <w:tcW w:w="429" w:type="pct"/>
            <w:gridSpan w:val="2"/>
            <w:tcBorders>
              <w:tl2br w:val="nil"/>
              <w:tr2bl w:val="nil"/>
            </w:tcBorders>
            <w:vAlign w:val="center"/>
          </w:tcPr>
          <w:p w14:paraId="444EC301">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中控</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电脑</w:t>
            </w:r>
          </w:p>
        </w:tc>
        <w:tc>
          <w:tcPr>
            <w:tcW w:w="3718" w:type="pct"/>
            <w:tcBorders>
              <w:tl2br w:val="nil"/>
              <w:tr2bl w:val="nil"/>
            </w:tcBorders>
            <w:vAlign w:val="center"/>
          </w:tcPr>
          <w:p w14:paraId="3C232976">
            <w:pPr>
              <w:keepNext w:val="0"/>
              <w:keepLines w:val="0"/>
              <w:pageBreakBefore w:val="0"/>
              <w:widowControl/>
              <w:numPr>
                <w:ilvl w:val="0"/>
                <w:numId w:val="0"/>
              </w:numPr>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CPU</w:t>
            </w:r>
            <w:r>
              <w:rPr>
                <w:rFonts w:hint="eastAsia" w:ascii="宋体" w:hAnsi="宋体" w:cs="宋体"/>
                <w:i w:val="0"/>
                <w:iCs w:val="0"/>
                <w:color w:val="auto"/>
                <w:kern w:val="0"/>
                <w:sz w:val="21"/>
                <w:szCs w:val="21"/>
                <w:highlight w:val="none"/>
                <w:u w:val="none"/>
                <w:lang w:val="en-US" w:eastAsia="zh-CN" w:bidi="ar"/>
              </w:rPr>
              <w:t>参数</w:t>
            </w:r>
            <w:r>
              <w:rPr>
                <w:rFonts w:hint="eastAsia" w:ascii="宋体" w:hAnsi="宋体" w:eastAsia="宋体" w:cs="宋体"/>
                <w:i w:val="0"/>
                <w:iCs w:val="0"/>
                <w:color w:val="auto"/>
                <w:kern w:val="0"/>
                <w:sz w:val="21"/>
                <w:szCs w:val="21"/>
                <w:highlight w:val="none"/>
                <w:u w:val="none"/>
                <w:lang w:val="en-US" w:eastAsia="zh-CN" w:bidi="ar"/>
              </w:rPr>
              <w:t>:主频≥2.7GHz，核心数≥10，线程数≥10，缓存≥20MB</w:t>
            </w:r>
            <w:r>
              <w:rPr>
                <w:rFonts w:hint="eastAsia" w:ascii="宋体" w:hAnsi="宋体" w:cs="宋体"/>
                <w:i w:val="0"/>
                <w:iCs w:val="0"/>
                <w:color w:val="auto"/>
                <w:kern w:val="0"/>
                <w:sz w:val="21"/>
                <w:szCs w:val="21"/>
                <w:highlight w:val="none"/>
                <w:u w:val="none"/>
                <w:lang w:val="en-US" w:eastAsia="zh-CN" w:bidi="ar"/>
              </w:rPr>
              <w:t>，主板芯片组800系列或以上芯片组</w:t>
            </w:r>
          </w:p>
          <w:p w14:paraId="18BC529A">
            <w:pPr>
              <w:keepNext w:val="0"/>
              <w:keepLines w:val="0"/>
              <w:pageBreakBefore w:val="0"/>
              <w:widowControl/>
              <w:numPr>
                <w:ilvl w:val="0"/>
                <w:numId w:val="0"/>
              </w:numPr>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内存容量: 16GB</w:t>
            </w:r>
            <w:r>
              <w:rPr>
                <w:rFonts w:hint="eastAsia" w:ascii="宋体" w:hAnsi="宋体" w:cs="宋体"/>
                <w:i w:val="0"/>
                <w:iCs w:val="0"/>
                <w:color w:val="auto"/>
                <w:kern w:val="0"/>
                <w:sz w:val="21"/>
                <w:szCs w:val="21"/>
                <w:highlight w:val="none"/>
                <w:u w:val="none"/>
                <w:lang w:val="en-US" w:eastAsia="zh-CN" w:bidi="ar"/>
              </w:rPr>
              <w:t>及以上</w:t>
            </w:r>
          </w:p>
          <w:p w14:paraId="3D7F5E04">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硬盘容量: 1TB SSD固态硬盘</w:t>
            </w:r>
          </w:p>
          <w:p w14:paraId="371C626F">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显卡类型:集成显卡</w:t>
            </w:r>
          </w:p>
          <w:p w14:paraId="4D304AA4">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显示设备尺寸:≥23.8英寸</w:t>
            </w:r>
          </w:p>
          <w:p w14:paraId="739489F8">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网卡:集成10/100/1000M以太网卡</w:t>
            </w:r>
          </w:p>
          <w:p w14:paraId="1A0BD575">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color w:val="auto"/>
                <w:sz w:val="21"/>
                <w:szCs w:val="21"/>
                <w:highlight w:val="none"/>
              </w:rPr>
            </w:pP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键鼠:原厂键盘、鼠标</w:t>
            </w:r>
          </w:p>
        </w:tc>
        <w:tc>
          <w:tcPr>
            <w:tcW w:w="229" w:type="pct"/>
            <w:tcBorders>
              <w:tl2br w:val="nil"/>
              <w:tr2bl w:val="nil"/>
            </w:tcBorders>
            <w:vAlign w:val="center"/>
          </w:tcPr>
          <w:p w14:paraId="6B9321D7">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295" w:type="pct"/>
            <w:gridSpan w:val="2"/>
            <w:tcBorders>
              <w:tl2br w:val="nil"/>
              <w:tr2bl w:val="nil"/>
            </w:tcBorders>
            <w:vAlign w:val="center"/>
          </w:tcPr>
          <w:p w14:paraId="009F29D0">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套</w:t>
            </w:r>
          </w:p>
        </w:tc>
      </w:tr>
      <w:tr w14:paraId="2681AA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327" w:type="pct"/>
            <w:tcBorders>
              <w:tl2br w:val="nil"/>
              <w:tr2bl w:val="nil"/>
            </w:tcBorders>
            <w:vAlign w:val="center"/>
          </w:tcPr>
          <w:p w14:paraId="125FD280">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10</w:t>
            </w:r>
          </w:p>
        </w:tc>
        <w:tc>
          <w:tcPr>
            <w:tcW w:w="429" w:type="pct"/>
            <w:gridSpan w:val="2"/>
            <w:tcBorders>
              <w:tl2br w:val="nil"/>
              <w:tr2bl w:val="nil"/>
            </w:tcBorders>
            <w:vAlign w:val="center"/>
          </w:tcPr>
          <w:p w14:paraId="54CEF75D">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操作桌椅</w:t>
            </w:r>
          </w:p>
        </w:tc>
        <w:tc>
          <w:tcPr>
            <w:tcW w:w="3718" w:type="pct"/>
            <w:tcBorders>
              <w:tl2br w:val="nil"/>
              <w:tr2bl w:val="nil"/>
            </w:tcBorders>
            <w:vAlign w:val="center"/>
          </w:tcPr>
          <w:p w14:paraId="7BF0D172">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snapToGrid w:val="0"/>
                <w:color w:val="auto"/>
                <w:kern w:val="0"/>
                <w:sz w:val="21"/>
                <w:szCs w:val="21"/>
                <w:highlight w:val="none"/>
                <w:lang w:val="en-US" w:eastAsia="zh-CN" w:bidi="ar"/>
                <w14:ligatures w14:val="none"/>
              </w:rPr>
            </w:pPr>
            <w:r>
              <w:rPr>
                <w:rFonts w:hint="eastAsia" w:ascii="宋体" w:hAnsi="宋体" w:eastAsia="宋体" w:cs="宋体"/>
                <w:snapToGrid w:val="0"/>
                <w:color w:val="auto"/>
                <w:kern w:val="0"/>
                <w:sz w:val="21"/>
                <w:szCs w:val="21"/>
                <w:highlight w:val="none"/>
                <w:lang w:val="en-US" w:eastAsia="zh-CN" w:bidi="ar"/>
                <w14:ligatures w14:val="none"/>
              </w:rPr>
              <w:t>根据实训场地情况，定制操作桌</w:t>
            </w:r>
          </w:p>
          <w:p w14:paraId="5AC6A00D">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snapToGrid w:val="0"/>
                <w:color w:val="auto"/>
                <w:kern w:val="0"/>
                <w:sz w:val="21"/>
                <w:szCs w:val="21"/>
                <w:highlight w:val="none"/>
                <w:lang w:val="en-US" w:eastAsia="zh-CN" w:bidi="ar"/>
                <w14:ligatures w14:val="none"/>
              </w:rPr>
            </w:pPr>
            <w:r>
              <w:rPr>
                <w:rFonts w:hint="eastAsia" w:ascii="宋体" w:hAnsi="宋体" w:eastAsia="宋体" w:cs="宋体"/>
                <w:snapToGrid w:val="0"/>
                <w:color w:val="auto"/>
                <w:kern w:val="0"/>
                <w:sz w:val="21"/>
                <w:szCs w:val="21"/>
                <w:highlight w:val="none"/>
                <w:lang w:val="en-US" w:eastAsia="zh-CN" w:bidi="ar"/>
                <w14:ligatures w14:val="none"/>
              </w:rPr>
              <w:t>桌子：</w:t>
            </w:r>
          </w:p>
          <w:p w14:paraId="1787C324">
            <w:pPr>
              <w:keepNext w:val="0"/>
              <w:keepLines w:val="0"/>
              <w:pageBreakBefore w:val="0"/>
              <w:widowControl/>
              <w:suppressLineNumbers w:val="0"/>
              <w:wordWrap/>
              <w:topLinePunct w:val="0"/>
              <w:bidi w:val="0"/>
              <w:spacing w:line="440" w:lineRule="exact"/>
              <w:jc w:val="left"/>
              <w:textAlignment w:val="center"/>
              <w:rPr>
                <w:rFonts w:hint="default" w:ascii="宋体" w:hAnsi="宋体" w:eastAsia="宋体" w:cs="宋体"/>
                <w:snapToGrid w:val="0"/>
                <w:color w:val="auto"/>
                <w:kern w:val="0"/>
                <w:sz w:val="21"/>
                <w:szCs w:val="21"/>
                <w:highlight w:val="none"/>
                <w:lang w:val="en-US" w:eastAsia="zh-CN" w:bidi="ar"/>
                <w14:ligatures w14:val="none"/>
              </w:rPr>
            </w:pPr>
            <w:r>
              <w:rPr>
                <w:rFonts w:hint="eastAsia" w:ascii="宋体" w:hAnsi="宋体" w:eastAsia="宋体" w:cs="宋体"/>
                <w:snapToGrid w:val="0"/>
                <w:color w:val="auto"/>
                <w:kern w:val="0"/>
                <w:sz w:val="21"/>
                <w:szCs w:val="21"/>
                <w:highlight w:val="none"/>
                <w:lang w:val="en-US" w:eastAsia="zh-CN" w:bidi="ar"/>
                <w14:ligatures w14:val="none"/>
              </w:rPr>
              <w:t>材质：人造板+钢制架构，结实耐用</w:t>
            </w:r>
          </w:p>
          <w:p w14:paraId="5E8CF391">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snapToGrid w:val="0"/>
                <w:color w:val="auto"/>
                <w:kern w:val="0"/>
                <w:sz w:val="21"/>
                <w:szCs w:val="21"/>
                <w:highlight w:val="none"/>
                <w:lang w:val="en-US" w:eastAsia="zh-CN" w:bidi="ar"/>
                <w14:ligatures w14:val="none"/>
              </w:rPr>
            </w:pPr>
            <w:r>
              <w:rPr>
                <w:rFonts w:hint="eastAsia" w:ascii="宋体" w:hAnsi="宋体" w:eastAsia="宋体" w:cs="宋体"/>
                <w:snapToGrid w:val="0"/>
                <w:color w:val="auto"/>
                <w:kern w:val="0"/>
                <w:sz w:val="21"/>
                <w:szCs w:val="21"/>
                <w:highlight w:val="none"/>
                <w:lang w:val="en-US" w:eastAsia="zh-CN" w:bidi="ar"/>
                <w14:ligatures w14:val="none"/>
              </w:rPr>
              <w:t>办公椅：</w:t>
            </w:r>
          </w:p>
          <w:p w14:paraId="28AF4485">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snapToGrid w:val="0"/>
                <w:color w:val="auto"/>
                <w:kern w:val="0"/>
                <w:sz w:val="21"/>
                <w:szCs w:val="21"/>
                <w:highlight w:val="none"/>
                <w:lang w:val="en-US" w:eastAsia="zh-CN" w:bidi="ar"/>
                <w14:ligatures w14:val="none"/>
              </w:rPr>
            </w:pPr>
            <w:r>
              <w:rPr>
                <w:rFonts w:hint="eastAsia" w:ascii="宋体" w:hAnsi="宋体" w:eastAsia="宋体" w:cs="宋体"/>
                <w:snapToGrid w:val="0"/>
                <w:color w:val="auto"/>
                <w:kern w:val="0"/>
                <w:sz w:val="21"/>
                <w:szCs w:val="21"/>
                <w:highlight w:val="none"/>
                <w:lang w:val="en-US" w:eastAsia="zh-CN" w:bidi="ar"/>
                <w14:ligatures w14:val="none"/>
              </w:rPr>
              <w:t>面料材质：网布</w:t>
            </w:r>
          </w:p>
          <w:p w14:paraId="530D16F2">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snapToGrid w:val="0"/>
                <w:color w:val="auto"/>
                <w:kern w:val="0"/>
                <w:sz w:val="21"/>
                <w:szCs w:val="21"/>
                <w:highlight w:val="none"/>
                <w:lang w:val="en-US" w:eastAsia="zh-CN" w:bidi="ar"/>
                <w14:ligatures w14:val="none"/>
              </w:rPr>
            </w:pPr>
            <w:r>
              <w:rPr>
                <w:rFonts w:hint="eastAsia" w:ascii="宋体" w:hAnsi="宋体" w:eastAsia="宋体" w:cs="宋体"/>
                <w:snapToGrid w:val="0"/>
                <w:color w:val="auto"/>
                <w:kern w:val="0"/>
                <w:sz w:val="21"/>
                <w:szCs w:val="21"/>
                <w:highlight w:val="none"/>
                <w:lang w:val="en-US" w:eastAsia="zh-CN" w:bidi="ar"/>
                <w14:ligatures w14:val="none"/>
              </w:rPr>
              <w:t>椅脚材质：锦纶/尼龙(聚酰胺纤维）</w:t>
            </w:r>
          </w:p>
          <w:p w14:paraId="68C9F396">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lang w:val="en-US" w:eastAsia="zh-CN" w:bidi="ar"/>
                <w14:ligatures w14:val="none"/>
              </w:rPr>
              <w:t>升降方式：气压升降</w:t>
            </w:r>
          </w:p>
        </w:tc>
        <w:tc>
          <w:tcPr>
            <w:tcW w:w="229" w:type="pct"/>
            <w:tcBorders>
              <w:tl2br w:val="nil"/>
              <w:tr2bl w:val="nil"/>
            </w:tcBorders>
            <w:shd w:val="clear" w:color="auto" w:fill="auto"/>
            <w:vAlign w:val="center"/>
          </w:tcPr>
          <w:p w14:paraId="2394FDF5">
            <w:pPr>
              <w:keepNext w:val="0"/>
              <w:keepLines w:val="0"/>
              <w:pageBreakBefore w:val="0"/>
              <w:wordWrap/>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w:t>
            </w:r>
          </w:p>
        </w:tc>
        <w:tc>
          <w:tcPr>
            <w:tcW w:w="295" w:type="pct"/>
            <w:gridSpan w:val="2"/>
            <w:tcBorders>
              <w:tl2br w:val="nil"/>
              <w:tr2bl w:val="nil"/>
            </w:tcBorders>
            <w:shd w:val="clear" w:color="auto" w:fill="auto"/>
            <w:vAlign w:val="center"/>
          </w:tcPr>
          <w:p w14:paraId="463F8E50">
            <w:pPr>
              <w:keepNext w:val="0"/>
              <w:keepLines w:val="0"/>
              <w:pageBreakBefore w:val="0"/>
              <w:wordWrap/>
              <w:topLinePunct w:val="0"/>
              <w:bidi w:val="0"/>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套</w:t>
            </w:r>
          </w:p>
        </w:tc>
      </w:tr>
      <w:tr w14:paraId="016638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327" w:type="pct"/>
            <w:tcBorders>
              <w:tl2br w:val="nil"/>
              <w:tr2bl w:val="nil"/>
            </w:tcBorders>
            <w:vAlign w:val="center"/>
          </w:tcPr>
          <w:p w14:paraId="66126F2A">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11</w:t>
            </w:r>
          </w:p>
        </w:tc>
        <w:tc>
          <w:tcPr>
            <w:tcW w:w="429" w:type="pct"/>
            <w:gridSpan w:val="2"/>
            <w:tcBorders>
              <w:tl2br w:val="nil"/>
              <w:tr2bl w:val="nil"/>
            </w:tcBorders>
            <w:vAlign w:val="center"/>
          </w:tcPr>
          <w:p w14:paraId="275E995D">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snapToGrid w:val="0"/>
                <w:color w:val="auto"/>
                <w:kern w:val="0"/>
                <w:sz w:val="21"/>
                <w:szCs w:val="21"/>
                <w:highlight w:val="none"/>
                <w:lang w:bidi="ar"/>
                <w14:ligatures w14:val="none"/>
              </w:rPr>
            </w:pPr>
            <w:r>
              <w:rPr>
                <w:rFonts w:hint="eastAsia" w:ascii="宋体" w:hAnsi="宋体" w:eastAsia="宋体" w:cs="宋体"/>
                <w:snapToGrid w:val="0"/>
                <w:color w:val="auto"/>
                <w:kern w:val="0"/>
                <w:sz w:val="21"/>
                <w:szCs w:val="21"/>
                <w:highlight w:val="none"/>
                <w:lang w:bidi="ar"/>
                <w14:ligatures w14:val="none"/>
              </w:rPr>
              <w:t>产品陈列柜</w:t>
            </w:r>
          </w:p>
        </w:tc>
        <w:tc>
          <w:tcPr>
            <w:tcW w:w="3718" w:type="pct"/>
            <w:tcBorders>
              <w:tl2br w:val="nil"/>
              <w:tr2bl w:val="nil"/>
            </w:tcBorders>
            <w:vAlign w:val="center"/>
          </w:tcPr>
          <w:p w14:paraId="500BEAE4">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snapToGrid w:val="0"/>
                <w:color w:val="auto"/>
                <w:kern w:val="0"/>
                <w:sz w:val="21"/>
                <w:szCs w:val="21"/>
                <w:highlight w:val="none"/>
                <w:lang w:eastAsia="zh-CN" w:bidi="ar"/>
                <w14:ligatures w14:val="none"/>
              </w:rPr>
            </w:pPr>
            <w:r>
              <w:rPr>
                <w:rFonts w:hint="eastAsia" w:ascii="宋体" w:hAnsi="宋体" w:eastAsia="宋体" w:cs="宋体"/>
                <w:snapToGrid w:val="0"/>
                <w:color w:val="auto"/>
                <w:kern w:val="0"/>
                <w:sz w:val="21"/>
                <w:szCs w:val="21"/>
                <w:highlight w:val="none"/>
                <w:lang w:bidi="ar"/>
                <w14:ligatures w14:val="none"/>
              </w:rPr>
              <w:t>上下两截，上截为</w:t>
            </w:r>
            <w:r>
              <w:rPr>
                <w:rFonts w:hint="eastAsia" w:ascii="宋体" w:hAnsi="宋体" w:eastAsia="宋体" w:cs="宋体"/>
                <w:snapToGrid w:val="0"/>
                <w:color w:val="auto"/>
                <w:kern w:val="0"/>
                <w:sz w:val="21"/>
                <w:szCs w:val="21"/>
                <w:highlight w:val="none"/>
                <w:lang w:val="en-US" w:eastAsia="zh-CN" w:bidi="ar"/>
                <w14:ligatures w14:val="none"/>
              </w:rPr>
              <w:t>4</w:t>
            </w:r>
            <w:r>
              <w:rPr>
                <w:rFonts w:hint="eastAsia" w:ascii="宋体" w:hAnsi="宋体" w:eastAsia="宋体" w:cs="宋体"/>
                <w:snapToGrid w:val="0"/>
                <w:color w:val="auto"/>
                <w:kern w:val="0"/>
                <w:sz w:val="21"/>
                <w:szCs w:val="21"/>
                <w:highlight w:val="none"/>
                <w:lang w:bidi="ar"/>
                <w14:ligatures w14:val="none"/>
              </w:rPr>
              <w:t>层设计，</w:t>
            </w:r>
            <w:r>
              <w:rPr>
                <w:rFonts w:hint="eastAsia" w:ascii="宋体" w:hAnsi="宋体" w:eastAsia="宋体" w:cs="宋体"/>
                <w:snapToGrid w:val="0"/>
                <w:color w:val="auto"/>
                <w:kern w:val="0"/>
                <w:sz w:val="21"/>
                <w:szCs w:val="21"/>
                <w:highlight w:val="none"/>
                <w:lang w:eastAsia="zh-CN" w:bidi="ar"/>
                <w14:ligatures w14:val="none"/>
              </w:rPr>
              <w:t>玻璃门，</w:t>
            </w:r>
            <w:r>
              <w:rPr>
                <w:rFonts w:hint="eastAsia" w:ascii="宋体" w:hAnsi="宋体" w:eastAsia="宋体" w:cs="宋体"/>
                <w:snapToGrid w:val="0"/>
                <w:color w:val="auto"/>
                <w:kern w:val="0"/>
                <w:sz w:val="21"/>
                <w:szCs w:val="21"/>
                <w:highlight w:val="none"/>
                <w:lang w:val="en-US" w:eastAsia="zh-CN" w:bidi="ar"/>
                <w14:ligatures w14:val="none"/>
              </w:rPr>
              <w:t>用于产品摆放，陈列等</w:t>
            </w:r>
            <w:r>
              <w:rPr>
                <w:rFonts w:hint="eastAsia" w:ascii="宋体" w:hAnsi="宋体" w:eastAsia="宋体" w:cs="宋体"/>
                <w:snapToGrid w:val="0"/>
                <w:color w:val="auto"/>
                <w:kern w:val="0"/>
                <w:sz w:val="21"/>
                <w:szCs w:val="21"/>
                <w:highlight w:val="none"/>
                <w:lang w:bidi="ar"/>
                <w14:ligatures w14:val="none"/>
              </w:rPr>
              <w:t>，下截可</w:t>
            </w:r>
            <w:r>
              <w:rPr>
                <w:rFonts w:hint="eastAsia" w:ascii="宋体" w:hAnsi="宋体" w:eastAsia="宋体" w:cs="宋体"/>
                <w:snapToGrid w:val="0"/>
                <w:color w:val="auto"/>
                <w:kern w:val="0"/>
                <w:sz w:val="21"/>
                <w:szCs w:val="21"/>
                <w:highlight w:val="none"/>
                <w:lang w:eastAsia="zh-CN" w:bidi="ar"/>
                <w14:ligatures w14:val="none"/>
              </w:rPr>
              <w:t>作收纳，尺寸根据直播间大小定制。</w:t>
            </w:r>
          </w:p>
        </w:tc>
        <w:tc>
          <w:tcPr>
            <w:tcW w:w="229" w:type="pct"/>
            <w:tcBorders>
              <w:tl2br w:val="nil"/>
              <w:tr2bl w:val="nil"/>
            </w:tcBorders>
            <w:vAlign w:val="center"/>
          </w:tcPr>
          <w:p w14:paraId="061E24EB">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295" w:type="pct"/>
            <w:gridSpan w:val="2"/>
            <w:tcBorders>
              <w:tl2br w:val="nil"/>
              <w:tr2bl w:val="nil"/>
            </w:tcBorders>
            <w:vAlign w:val="center"/>
          </w:tcPr>
          <w:p w14:paraId="35FE3C09">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个</w:t>
            </w:r>
          </w:p>
        </w:tc>
      </w:tr>
      <w:tr w14:paraId="13657B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63" w:hRule="atLeast"/>
          <w:jc w:val="center"/>
        </w:trPr>
        <w:tc>
          <w:tcPr>
            <w:tcW w:w="327" w:type="pct"/>
            <w:tcBorders>
              <w:tl2br w:val="nil"/>
              <w:tr2bl w:val="nil"/>
            </w:tcBorders>
            <w:vAlign w:val="center"/>
          </w:tcPr>
          <w:p w14:paraId="5217A6B3">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12</w:t>
            </w:r>
          </w:p>
        </w:tc>
        <w:tc>
          <w:tcPr>
            <w:tcW w:w="429" w:type="pct"/>
            <w:gridSpan w:val="2"/>
            <w:tcBorders>
              <w:tl2br w:val="nil"/>
              <w:tr2bl w:val="nil"/>
            </w:tcBorders>
            <w:vAlign w:val="center"/>
          </w:tcPr>
          <w:p w14:paraId="62A3835A">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无线路由器</w:t>
            </w:r>
          </w:p>
        </w:tc>
        <w:tc>
          <w:tcPr>
            <w:tcW w:w="3718" w:type="pct"/>
            <w:tcBorders>
              <w:tl2br w:val="nil"/>
              <w:tr2bl w:val="nil"/>
            </w:tcBorders>
            <w:vAlign w:val="center"/>
          </w:tcPr>
          <w:p w14:paraId="3F468186">
            <w:pPr>
              <w:keepNext w:val="0"/>
              <w:keepLines w:val="0"/>
              <w:pageBreakBefore w:val="0"/>
              <w:widowControl/>
              <w:suppressLineNumbers w:val="0"/>
              <w:wordWrap/>
              <w:topLinePunct w:val="0"/>
              <w:bidi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snapToGrid w:val="0"/>
                <w:color w:val="auto"/>
                <w:kern w:val="0"/>
                <w:sz w:val="21"/>
                <w:szCs w:val="21"/>
                <w:highlight w:val="none"/>
                <w:lang w:bidi="ar"/>
                <w14:ligatures w14:val="none"/>
              </w:rPr>
              <w:t>LAN输出口：千兆网口</w:t>
            </w:r>
            <w:r>
              <w:rPr>
                <w:rFonts w:hint="eastAsia" w:ascii="宋体" w:hAnsi="宋体" w:eastAsia="宋体" w:cs="宋体"/>
                <w:snapToGrid w:val="0"/>
                <w:color w:val="auto"/>
                <w:kern w:val="0"/>
                <w:sz w:val="21"/>
                <w:szCs w:val="21"/>
                <w:highlight w:val="none"/>
                <w:lang w:bidi="ar"/>
                <w14:ligatures w14:val="none"/>
              </w:rPr>
              <w:br w:type="textWrapping"/>
            </w:r>
            <w:r>
              <w:rPr>
                <w:rFonts w:hint="eastAsia" w:ascii="宋体" w:hAnsi="宋体" w:eastAsia="宋体" w:cs="宋体"/>
                <w:snapToGrid w:val="0"/>
                <w:color w:val="auto"/>
                <w:kern w:val="0"/>
                <w:sz w:val="21"/>
                <w:szCs w:val="21"/>
                <w:highlight w:val="none"/>
                <w:lang w:bidi="ar"/>
                <w14:ligatures w14:val="none"/>
              </w:rPr>
              <w:t>WAN口类型：电口</w:t>
            </w:r>
            <w:r>
              <w:rPr>
                <w:rFonts w:hint="eastAsia" w:ascii="宋体" w:hAnsi="宋体" w:eastAsia="宋体" w:cs="宋体"/>
                <w:snapToGrid w:val="0"/>
                <w:color w:val="auto"/>
                <w:kern w:val="0"/>
                <w:sz w:val="21"/>
                <w:szCs w:val="21"/>
                <w:highlight w:val="none"/>
                <w:lang w:bidi="ar"/>
                <w14:ligatures w14:val="none"/>
              </w:rPr>
              <w:br w:type="textWrapping"/>
            </w:r>
            <w:r>
              <w:rPr>
                <w:rFonts w:hint="eastAsia" w:ascii="宋体" w:hAnsi="宋体" w:eastAsia="宋体" w:cs="宋体"/>
                <w:snapToGrid w:val="0"/>
                <w:color w:val="auto"/>
                <w:kern w:val="0"/>
                <w:sz w:val="21"/>
                <w:szCs w:val="21"/>
                <w:highlight w:val="none"/>
                <w:lang w:bidi="ar"/>
                <w14:ligatures w14:val="none"/>
              </w:rPr>
              <w:t>管理方式：APP管理</w:t>
            </w:r>
            <w:r>
              <w:rPr>
                <w:rFonts w:hint="eastAsia" w:ascii="宋体" w:hAnsi="宋体" w:eastAsia="宋体" w:cs="宋体"/>
                <w:snapToGrid w:val="0"/>
                <w:color w:val="auto"/>
                <w:kern w:val="0"/>
                <w:sz w:val="21"/>
                <w:szCs w:val="21"/>
                <w:highlight w:val="none"/>
                <w:lang w:bidi="ar"/>
                <w14:ligatures w14:val="none"/>
              </w:rPr>
              <w:br w:type="textWrapping"/>
            </w:r>
            <w:r>
              <w:rPr>
                <w:rFonts w:hint="eastAsia" w:ascii="宋体" w:hAnsi="宋体" w:eastAsia="宋体" w:cs="宋体"/>
                <w:snapToGrid w:val="0"/>
                <w:color w:val="auto"/>
                <w:kern w:val="0"/>
                <w:sz w:val="21"/>
                <w:szCs w:val="21"/>
                <w:highlight w:val="none"/>
                <w:lang w:bidi="ar"/>
                <w14:ligatures w14:val="none"/>
              </w:rPr>
              <w:t>无线速率：≥1500M</w:t>
            </w:r>
            <w:r>
              <w:rPr>
                <w:rFonts w:hint="eastAsia" w:ascii="宋体" w:hAnsi="宋体" w:eastAsia="宋体" w:cs="宋体"/>
                <w:snapToGrid w:val="0"/>
                <w:color w:val="auto"/>
                <w:kern w:val="0"/>
                <w:sz w:val="21"/>
                <w:szCs w:val="21"/>
                <w:highlight w:val="none"/>
                <w:lang w:bidi="ar"/>
                <w14:ligatures w14:val="none"/>
              </w:rPr>
              <w:br w:type="textWrapping"/>
            </w:r>
            <w:r>
              <w:rPr>
                <w:rFonts w:hint="eastAsia" w:ascii="宋体" w:hAnsi="宋体" w:eastAsia="宋体" w:cs="宋体"/>
                <w:snapToGrid w:val="0"/>
                <w:color w:val="auto"/>
                <w:kern w:val="0"/>
                <w:sz w:val="21"/>
                <w:szCs w:val="21"/>
                <w:highlight w:val="none"/>
                <w:lang w:bidi="ar"/>
                <w14:ligatures w14:val="none"/>
              </w:rPr>
              <w:t>APP控制：支持APP控制</w:t>
            </w:r>
            <w:r>
              <w:rPr>
                <w:rFonts w:hint="eastAsia" w:ascii="宋体" w:hAnsi="宋体" w:eastAsia="宋体" w:cs="宋体"/>
                <w:snapToGrid w:val="0"/>
                <w:color w:val="auto"/>
                <w:kern w:val="0"/>
                <w:sz w:val="21"/>
                <w:szCs w:val="21"/>
                <w:highlight w:val="none"/>
                <w:lang w:bidi="ar"/>
                <w14:ligatures w14:val="none"/>
              </w:rPr>
              <w:br w:type="textWrapping"/>
            </w:r>
            <w:r>
              <w:rPr>
                <w:rFonts w:hint="eastAsia" w:ascii="宋体" w:hAnsi="宋体" w:eastAsia="宋体" w:cs="宋体"/>
                <w:snapToGrid w:val="0"/>
                <w:color w:val="auto"/>
                <w:kern w:val="0"/>
                <w:sz w:val="21"/>
                <w:szCs w:val="21"/>
                <w:highlight w:val="none"/>
                <w:lang w:bidi="ar"/>
                <w14:ligatures w14:val="none"/>
              </w:rPr>
              <w:t>总带机量：≥50终端</w:t>
            </w:r>
            <w:r>
              <w:rPr>
                <w:rFonts w:hint="eastAsia" w:ascii="宋体" w:hAnsi="宋体" w:eastAsia="宋体" w:cs="宋体"/>
                <w:snapToGrid w:val="0"/>
                <w:color w:val="auto"/>
                <w:kern w:val="0"/>
                <w:sz w:val="21"/>
                <w:szCs w:val="21"/>
                <w:highlight w:val="none"/>
                <w:lang w:bidi="ar"/>
                <w14:ligatures w14:val="none"/>
              </w:rPr>
              <w:br w:type="textWrapping"/>
            </w:r>
            <w:r>
              <w:rPr>
                <w:rFonts w:hint="eastAsia" w:ascii="宋体" w:hAnsi="宋体" w:eastAsia="宋体" w:cs="宋体"/>
                <w:snapToGrid w:val="0"/>
                <w:color w:val="auto"/>
                <w:kern w:val="0"/>
                <w:sz w:val="21"/>
                <w:szCs w:val="21"/>
                <w:highlight w:val="none"/>
                <w:lang w:bidi="ar"/>
                <w14:ligatures w14:val="none"/>
              </w:rPr>
              <w:t>LAN口类型：电口</w:t>
            </w:r>
            <w:r>
              <w:rPr>
                <w:rFonts w:hint="eastAsia" w:ascii="宋体" w:hAnsi="宋体" w:eastAsia="宋体" w:cs="宋体"/>
                <w:snapToGrid w:val="0"/>
                <w:color w:val="auto"/>
                <w:kern w:val="0"/>
                <w:sz w:val="21"/>
                <w:szCs w:val="21"/>
                <w:highlight w:val="none"/>
                <w:lang w:bidi="ar"/>
                <w14:ligatures w14:val="none"/>
              </w:rPr>
              <w:br w:type="textWrapping"/>
            </w:r>
            <w:r>
              <w:rPr>
                <w:rFonts w:hint="eastAsia" w:ascii="宋体" w:hAnsi="宋体" w:eastAsia="宋体" w:cs="宋体"/>
                <w:snapToGrid w:val="0"/>
                <w:color w:val="auto"/>
                <w:kern w:val="0"/>
                <w:sz w:val="21"/>
                <w:szCs w:val="21"/>
                <w:highlight w:val="none"/>
                <w:lang w:bidi="ar"/>
                <w14:ligatures w14:val="none"/>
              </w:rPr>
              <w:t>无线协议：Wi-Fi 6</w:t>
            </w:r>
          </w:p>
        </w:tc>
        <w:tc>
          <w:tcPr>
            <w:tcW w:w="229" w:type="pct"/>
            <w:tcBorders>
              <w:tl2br w:val="nil"/>
              <w:tr2bl w:val="nil"/>
            </w:tcBorders>
            <w:vAlign w:val="center"/>
          </w:tcPr>
          <w:p w14:paraId="3E2CAB0D">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295" w:type="pct"/>
            <w:gridSpan w:val="2"/>
            <w:tcBorders>
              <w:tl2br w:val="nil"/>
              <w:tr2bl w:val="nil"/>
            </w:tcBorders>
            <w:vAlign w:val="center"/>
          </w:tcPr>
          <w:p w14:paraId="5A53DB65">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r>
      <w:tr w14:paraId="4CEF82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327" w:type="pct"/>
            <w:tcBorders>
              <w:tl2br w:val="nil"/>
              <w:tr2bl w:val="nil"/>
            </w:tcBorders>
            <w:vAlign w:val="center"/>
          </w:tcPr>
          <w:p w14:paraId="202E7A7B">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13</w:t>
            </w:r>
          </w:p>
        </w:tc>
        <w:tc>
          <w:tcPr>
            <w:tcW w:w="429" w:type="pct"/>
            <w:gridSpan w:val="2"/>
            <w:tcBorders>
              <w:tl2br w:val="nil"/>
              <w:tr2bl w:val="nil"/>
            </w:tcBorders>
            <w:vAlign w:val="center"/>
          </w:tcPr>
          <w:p w14:paraId="5B181F6E">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交换机</w:t>
            </w:r>
          </w:p>
        </w:tc>
        <w:tc>
          <w:tcPr>
            <w:tcW w:w="3718" w:type="pct"/>
            <w:tcBorders>
              <w:tl2br w:val="nil"/>
              <w:tr2bl w:val="nil"/>
            </w:tcBorders>
            <w:vAlign w:val="center"/>
          </w:tcPr>
          <w:p w14:paraId="5EAFF84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snapToGrid w:val="0"/>
                <w:color w:val="auto"/>
                <w:kern w:val="0"/>
                <w:sz w:val="21"/>
                <w:szCs w:val="21"/>
                <w:highlight w:val="none"/>
                <w:lang w:bidi="ar"/>
                <w14:ligatures w14:val="none"/>
              </w:rPr>
              <w:t>端口：24个10/100/1000Base-T端口</w:t>
            </w:r>
            <w:r>
              <w:rPr>
                <w:rFonts w:hint="eastAsia" w:ascii="宋体" w:hAnsi="宋体" w:eastAsia="宋体" w:cs="宋体"/>
                <w:snapToGrid w:val="0"/>
                <w:color w:val="auto"/>
                <w:kern w:val="0"/>
                <w:sz w:val="21"/>
                <w:szCs w:val="21"/>
                <w:highlight w:val="none"/>
                <w:lang w:bidi="ar"/>
                <w14:ligatures w14:val="none"/>
              </w:rPr>
              <w:br w:type="textWrapping"/>
            </w:r>
            <w:r>
              <w:rPr>
                <w:rFonts w:hint="eastAsia" w:ascii="宋体" w:hAnsi="宋体" w:eastAsia="宋体" w:cs="宋体"/>
                <w:snapToGrid w:val="0"/>
                <w:color w:val="auto"/>
                <w:kern w:val="0"/>
                <w:sz w:val="21"/>
                <w:szCs w:val="21"/>
                <w:highlight w:val="none"/>
                <w:lang w:bidi="ar"/>
                <w14:ligatures w14:val="none"/>
              </w:rPr>
              <w:t>交换容量：≥256Gbps</w:t>
            </w:r>
            <w:r>
              <w:rPr>
                <w:rFonts w:hint="eastAsia" w:ascii="宋体" w:hAnsi="宋体" w:eastAsia="宋体" w:cs="宋体"/>
                <w:snapToGrid w:val="0"/>
                <w:color w:val="auto"/>
                <w:kern w:val="0"/>
                <w:sz w:val="21"/>
                <w:szCs w:val="21"/>
                <w:highlight w:val="none"/>
                <w:lang w:bidi="ar"/>
                <w14:ligatures w14:val="none"/>
              </w:rPr>
              <w:br w:type="textWrapping"/>
            </w:r>
            <w:r>
              <w:rPr>
                <w:rFonts w:hint="eastAsia" w:ascii="宋体" w:hAnsi="宋体" w:eastAsia="宋体" w:cs="宋体"/>
                <w:snapToGrid w:val="0"/>
                <w:color w:val="auto"/>
                <w:kern w:val="0"/>
                <w:sz w:val="21"/>
                <w:szCs w:val="21"/>
                <w:highlight w:val="none"/>
                <w:lang w:bidi="ar"/>
                <w14:ligatures w14:val="none"/>
              </w:rPr>
              <w:t>包转发率：≥42Mpps</w:t>
            </w:r>
          </w:p>
        </w:tc>
        <w:tc>
          <w:tcPr>
            <w:tcW w:w="229" w:type="pct"/>
            <w:tcBorders>
              <w:tl2br w:val="nil"/>
              <w:tr2bl w:val="nil"/>
            </w:tcBorders>
            <w:shd w:val="clear" w:color="auto" w:fill="auto"/>
            <w:vAlign w:val="center"/>
          </w:tcPr>
          <w:p w14:paraId="564F2D73">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295" w:type="pct"/>
            <w:gridSpan w:val="2"/>
            <w:tcBorders>
              <w:tl2br w:val="nil"/>
              <w:tr2bl w:val="nil"/>
            </w:tcBorders>
            <w:shd w:val="clear" w:color="auto" w:fill="auto"/>
            <w:vAlign w:val="center"/>
          </w:tcPr>
          <w:p w14:paraId="2EE17F4F">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r>
      <w:tr w14:paraId="1821BE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327" w:type="pct"/>
            <w:tcBorders>
              <w:tl2br w:val="nil"/>
              <w:tr2bl w:val="nil"/>
            </w:tcBorders>
            <w:vAlign w:val="center"/>
          </w:tcPr>
          <w:p w14:paraId="5154C55A">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14</w:t>
            </w:r>
          </w:p>
        </w:tc>
        <w:tc>
          <w:tcPr>
            <w:tcW w:w="429" w:type="pct"/>
            <w:gridSpan w:val="2"/>
            <w:tcBorders>
              <w:tl2br w:val="nil"/>
              <w:tr2bl w:val="nil"/>
            </w:tcBorders>
            <w:vAlign w:val="center"/>
          </w:tcPr>
          <w:p w14:paraId="1789B6F0">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服务器</w:t>
            </w:r>
          </w:p>
        </w:tc>
        <w:tc>
          <w:tcPr>
            <w:tcW w:w="3718" w:type="pct"/>
            <w:tcBorders>
              <w:tl2br w:val="nil"/>
              <w:tr2bl w:val="nil"/>
            </w:tcBorders>
            <w:vAlign w:val="center"/>
          </w:tcPr>
          <w:p w14:paraId="34FC5ADC">
            <w:pPr>
              <w:keepNext w:val="0"/>
              <w:keepLines w:val="0"/>
              <w:pageBreakBefore w:val="0"/>
              <w:wordWrap/>
              <w:topLinePunct w:val="0"/>
              <w:bidi w:val="0"/>
              <w:spacing w:line="44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处理器:配置1颗2.1GHZ_12C可扩展处理器，单处理器核心≥12，主频≥2.1GHz</w:t>
            </w:r>
            <w:r>
              <w:rPr>
                <w:rFonts w:hint="eastAsia" w:ascii="宋体" w:hAnsi="宋体" w:eastAsia="宋体" w:cs="宋体"/>
                <w:color w:val="auto"/>
                <w:sz w:val="21"/>
                <w:szCs w:val="21"/>
                <w:highlight w:val="none"/>
                <w:lang w:eastAsia="zh-CN"/>
              </w:rPr>
              <w:t>；</w:t>
            </w:r>
          </w:p>
          <w:p w14:paraId="0BC66202">
            <w:pPr>
              <w:keepNext w:val="0"/>
              <w:keepLines w:val="0"/>
              <w:pageBreakBefore w:val="0"/>
              <w:wordWrap/>
              <w:topLinePunct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内存:配置</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条≥32GB DDR4内存，最大支持16个内存插槽；</w:t>
            </w:r>
          </w:p>
          <w:p w14:paraId="4D79C243">
            <w:pPr>
              <w:keepNext w:val="0"/>
              <w:keepLines w:val="0"/>
              <w:pageBreakBefore w:val="0"/>
              <w:wordWrap/>
              <w:topLinePunct w:val="0"/>
              <w:bidi w:val="0"/>
              <w:spacing w:line="440" w:lineRule="exact"/>
              <w:rPr>
                <w:rFonts w:hint="eastAsia" w:ascii="宋体" w:hAnsi="宋体" w:eastAsia="宋体" w:cs="宋体"/>
                <w:snapToGrid w:val="0"/>
                <w:color w:val="auto"/>
                <w:kern w:val="0"/>
                <w:sz w:val="21"/>
                <w:szCs w:val="21"/>
                <w:highlight w:val="none"/>
                <w:lang w:bidi="ar"/>
                <w14:ligatures w14:val="none"/>
              </w:rPr>
            </w:pPr>
            <w:r>
              <w:rPr>
                <w:rFonts w:hint="eastAsia" w:ascii="宋体" w:hAnsi="宋体" w:eastAsia="宋体" w:cs="宋体"/>
                <w:color w:val="auto"/>
                <w:sz w:val="21"/>
                <w:szCs w:val="21"/>
                <w:highlight w:val="none"/>
              </w:rPr>
              <w:t>硬盘:配置至少2块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000GB</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SATA 企业级硬盘，硬盘支持热插拔；</w:t>
            </w:r>
          </w:p>
        </w:tc>
        <w:tc>
          <w:tcPr>
            <w:tcW w:w="229" w:type="pct"/>
            <w:tcBorders>
              <w:tl2br w:val="nil"/>
              <w:tr2bl w:val="nil"/>
            </w:tcBorders>
            <w:shd w:val="clear" w:color="auto" w:fill="auto"/>
            <w:vAlign w:val="center"/>
          </w:tcPr>
          <w:p w14:paraId="6BE506D8">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295" w:type="pct"/>
            <w:gridSpan w:val="2"/>
            <w:tcBorders>
              <w:tl2br w:val="nil"/>
              <w:tr2bl w:val="nil"/>
            </w:tcBorders>
            <w:shd w:val="clear" w:color="auto" w:fill="auto"/>
            <w:vAlign w:val="center"/>
          </w:tcPr>
          <w:p w14:paraId="13EEF5BC">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r>
      <w:tr w14:paraId="28FC38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56" w:hRule="atLeast"/>
          <w:jc w:val="center"/>
        </w:trPr>
        <w:tc>
          <w:tcPr>
            <w:tcW w:w="327" w:type="pct"/>
            <w:tcBorders>
              <w:tl2br w:val="nil"/>
              <w:tr2bl w:val="nil"/>
            </w:tcBorders>
            <w:vAlign w:val="center"/>
          </w:tcPr>
          <w:p w14:paraId="0A5EB3B3">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15</w:t>
            </w:r>
          </w:p>
        </w:tc>
        <w:tc>
          <w:tcPr>
            <w:tcW w:w="429" w:type="pct"/>
            <w:gridSpan w:val="2"/>
            <w:tcBorders>
              <w:tl2br w:val="nil"/>
              <w:tr2bl w:val="nil"/>
            </w:tcBorders>
            <w:vAlign w:val="center"/>
          </w:tcPr>
          <w:p w14:paraId="33222097">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机柜</w:t>
            </w:r>
          </w:p>
        </w:tc>
        <w:tc>
          <w:tcPr>
            <w:tcW w:w="3718" w:type="pct"/>
            <w:tcBorders>
              <w:tl2br w:val="nil"/>
              <w:tr2bl w:val="nil"/>
            </w:tcBorders>
            <w:vAlign w:val="center"/>
          </w:tcPr>
          <w:p w14:paraId="1C5EA707">
            <w:pPr>
              <w:keepNext w:val="0"/>
              <w:keepLines w:val="0"/>
              <w:pageBreakBefore w:val="0"/>
              <w:kinsoku/>
              <w:wordWrap/>
              <w:overflowPunct/>
              <w:topLinePunct w:val="0"/>
              <w:autoSpaceDE/>
              <w:autoSpaceDN/>
              <w:bidi w:val="0"/>
              <w:adjustRightInd/>
              <w:snapToGri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类型：服务器机柜 </w:t>
            </w:r>
          </w:p>
          <w:p w14:paraId="2076F7BC">
            <w:pPr>
              <w:keepNext w:val="0"/>
              <w:keepLines w:val="0"/>
              <w:pageBreakBefore w:val="0"/>
              <w:kinsoku/>
              <w:wordWrap/>
              <w:overflowPunct/>
              <w:topLinePunct w:val="0"/>
              <w:autoSpaceDE/>
              <w:autoSpaceDN/>
              <w:bidi w:val="0"/>
              <w:adjustRightInd/>
              <w:snapToGri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容量：18U </w:t>
            </w:r>
          </w:p>
          <w:p w14:paraId="25F24BAB">
            <w:pPr>
              <w:keepNext w:val="0"/>
              <w:keepLines w:val="0"/>
              <w:pageBreakBefore w:val="0"/>
              <w:kinsoku/>
              <w:wordWrap/>
              <w:overflowPunct/>
              <w:topLinePunct w:val="0"/>
              <w:autoSpaceDE/>
              <w:autoSpaceDN/>
              <w:bidi w:val="0"/>
              <w:adjustRightInd/>
              <w:snapToGri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前后门：前钢化玻璃后钣金 </w:t>
            </w:r>
          </w:p>
          <w:p w14:paraId="4057A53C">
            <w:pPr>
              <w:keepNext w:val="0"/>
              <w:keepLines w:val="0"/>
              <w:pageBreakBefore w:val="0"/>
              <w:kinsoku/>
              <w:wordWrap/>
              <w:overflowPunct/>
              <w:topLinePunct w:val="0"/>
              <w:autoSpaceDE/>
              <w:autoSpaceDN/>
              <w:bidi w:val="0"/>
              <w:adjustRightInd/>
              <w:snapToGrid/>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材料及工艺：SPCC优质冷轧钢板制作；</w:t>
            </w:r>
          </w:p>
          <w:p w14:paraId="0A693B2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napToGrid w:val="0"/>
                <w:color w:val="auto"/>
                <w:kern w:val="0"/>
                <w:sz w:val="21"/>
                <w:szCs w:val="21"/>
                <w:highlight w:val="none"/>
                <w:lang w:bidi="ar"/>
                <w14:ligatures w14:val="none"/>
              </w:rPr>
            </w:pPr>
            <w:r>
              <w:rPr>
                <w:rFonts w:hint="eastAsia" w:ascii="宋体" w:hAnsi="宋体" w:eastAsia="宋体" w:cs="宋体"/>
                <w:color w:val="auto"/>
                <w:sz w:val="21"/>
                <w:szCs w:val="21"/>
                <w:highlight w:val="none"/>
              </w:rPr>
              <w:t>其余：脱脂、磷化、静电喷塑。</w:t>
            </w:r>
          </w:p>
        </w:tc>
        <w:tc>
          <w:tcPr>
            <w:tcW w:w="229" w:type="pct"/>
            <w:tcBorders>
              <w:tl2br w:val="nil"/>
              <w:tr2bl w:val="nil"/>
            </w:tcBorders>
            <w:shd w:val="clear" w:color="auto" w:fill="auto"/>
            <w:vAlign w:val="center"/>
          </w:tcPr>
          <w:p w14:paraId="4BB3AD24">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295" w:type="pct"/>
            <w:gridSpan w:val="2"/>
            <w:tcBorders>
              <w:tl2br w:val="nil"/>
              <w:tr2bl w:val="nil"/>
            </w:tcBorders>
            <w:shd w:val="clear" w:color="auto" w:fill="auto"/>
            <w:vAlign w:val="center"/>
          </w:tcPr>
          <w:p w14:paraId="098A2E99">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r>
      <w:tr w14:paraId="557D0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70" w:hRule="atLeast"/>
          <w:jc w:val="center"/>
        </w:trPr>
        <w:tc>
          <w:tcPr>
            <w:tcW w:w="327" w:type="pct"/>
            <w:tcBorders>
              <w:tl2br w:val="nil"/>
              <w:tr2bl w:val="nil"/>
            </w:tcBorders>
            <w:vAlign w:val="center"/>
          </w:tcPr>
          <w:p w14:paraId="3577D858">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16</w:t>
            </w:r>
          </w:p>
        </w:tc>
        <w:tc>
          <w:tcPr>
            <w:tcW w:w="429" w:type="pct"/>
            <w:gridSpan w:val="2"/>
            <w:tcBorders>
              <w:tl2br w:val="nil"/>
              <w:tr2bl w:val="nil"/>
            </w:tcBorders>
            <w:vAlign w:val="center"/>
          </w:tcPr>
          <w:p w14:paraId="4578297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柜式空调</w:t>
            </w:r>
          </w:p>
          <w:p w14:paraId="2A0EA15B">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lang w:val="en-US" w:eastAsia="zh-CN"/>
              </w:rPr>
            </w:pPr>
          </w:p>
        </w:tc>
        <w:tc>
          <w:tcPr>
            <w:tcW w:w="3718" w:type="pct"/>
            <w:tcBorders>
              <w:tl2br w:val="nil"/>
              <w:tr2bl w:val="nil"/>
            </w:tcBorders>
            <w:vAlign w:val="center"/>
          </w:tcPr>
          <w:p w14:paraId="52C78AC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匹数：5匹</w:t>
            </w:r>
          </w:p>
          <w:p w14:paraId="4EF1E91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变频/定频：变频</w:t>
            </w:r>
          </w:p>
          <w:p w14:paraId="10C9149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制热量(kW)：13.85(1.8-18.0)</w:t>
            </w:r>
            <w:r>
              <w:rPr>
                <w:rFonts w:hint="eastAsia" w:ascii="宋体" w:hAnsi="宋体" w:eastAsia="宋体" w:cs="宋体"/>
                <w:i w:val="0"/>
                <w:iCs w:val="0"/>
                <w:color w:val="auto"/>
                <w:kern w:val="0"/>
                <w:sz w:val="21"/>
                <w:szCs w:val="21"/>
                <w:highlight w:val="none"/>
                <w:u w:val="none"/>
                <w:lang w:val="en-US" w:eastAsia="zh-CN" w:bidi="ar"/>
              </w:rPr>
              <w:tab/>
            </w:r>
          </w:p>
          <w:p w14:paraId="095576E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制热额定功率(kW)：4.2(0.5-5.0)</w:t>
            </w:r>
            <w:r>
              <w:rPr>
                <w:rFonts w:hint="eastAsia" w:ascii="宋体" w:hAnsi="宋体" w:eastAsia="宋体" w:cs="宋体"/>
                <w:i w:val="0"/>
                <w:iCs w:val="0"/>
                <w:color w:val="auto"/>
                <w:kern w:val="0"/>
                <w:sz w:val="21"/>
                <w:szCs w:val="21"/>
                <w:highlight w:val="none"/>
                <w:u w:val="none"/>
                <w:lang w:val="en-US" w:eastAsia="zh-CN" w:bidi="ar"/>
              </w:rPr>
              <w:tab/>
            </w:r>
          </w:p>
          <w:p w14:paraId="4FC0F1B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制冷量(kW)：12.15(1.8-13.3)</w:t>
            </w:r>
            <w:r>
              <w:rPr>
                <w:rFonts w:hint="eastAsia" w:ascii="宋体" w:hAnsi="宋体" w:eastAsia="宋体" w:cs="宋体"/>
                <w:i w:val="0"/>
                <w:iCs w:val="0"/>
                <w:color w:val="auto"/>
                <w:kern w:val="0"/>
                <w:sz w:val="21"/>
                <w:szCs w:val="21"/>
                <w:highlight w:val="none"/>
                <w:u w:val="none"/>
                <w:lang w:val="en-US" w:eastAsia="zh-CN" w:bidi="ar"/>
              </w:rPr>
              <w:tab/>
            </w:r>
          </w:p>
          <w:p w14:paraId="6B752F8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制冷额定功率(kW)：4.7(0.5-6.0)</w:t>
            </w:r>
          </w:p>
          <w:p w14:paraId="6632C8E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电热功率(kW)：3.5</w:t>
            </w:r>
            <w:r>
              <w:rPr>
                <w:rFonts w:hint="eastAsia" w:ascii="宋体" w:hAnsi="宋体" w:eastAsia="宋体" w:cs="宋体"/>
                <w:i w:val="0"/>
                <w:iCs w:val="0"/>
                <w:color w:val="auto"/>
                <w:kern w:val="0"/>
                <w:sz w:val="21"/>
                <w:szCs w:val="21"/>
                <w:highlight w:val="none"/>
                <w:u w:val="none"/>
                <w:lang w:val="en-US" w:eastAsia="zh-CN" w:bidi="ar"/>
              </w:rPr>
              <w:tab/>
            </w:r>
          </w:p>
          <w:p w14:paraId="4BD2C00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能效等级：2</w:t>
            </w:r>
            <w:r>
              <w:rPr>
                <w:rFonts w:hint="eastAsia" w:ascii="宋体" w:hAnsi="宋体" w:eastAsia="宋体" w:cs="宋体"/>
                <w:i w:val="0"/>
                <w:iCs w:val="0"/>
                <w:color w:val="auto"/>
                <w:kern w:val="0"/>
                <w:sz w:val="21"/>
                <w:szCs w:val="21"/>
                <w:highlight w:val="none"/>
                <w:u w:val="none"/>
                <w:lang w:val="en-US" w:eastAsia="zh-CN" w:bidi="ar"/>
              </w:rPr>
              <w:tab/>
            </w:r>
          </w:p>
          <w:p w14:paraId="7C30EA2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室内机/室外机噪音(dB(A))：52/59</w:t>
            </w:r>
            <w:r>
              <w:rPr>
                <w:rFonts w:hint="eastAsia" w:ascii="宋体" w:hAnsi="宋体" w:eastAsia="宋体" w:cs="宋体"/>
                <w:i w:val="0"/>
                <w:iCs w:val="0"/>
                <w:color w:val="auto"/>
                <w:kern w:val="0"/>
                <w:sz w:val="21"/>
                <w:szCs w:val="21"/>
                <w:highlight w:val="none"/>
                <w:u w:val="none"/>
                <w:lang w:val="en-US" w:eastAsia="zh-CN" w:bidi="ar"/>
              </w:rPr>
              <w:tab/>
            </w:r>
          </w:p>
        </w:tc>
        <w:tc>
          <w:tcPr>
            <w:tcW w:w="229" w:type="pct"/>
            <w:tcBorders>
              <w:tl2br w:val="nil"/>
              <w:tr2bl w:val="nil"/>
            </w:tcBorders>
            <w:shd w:val="clear" w:color="auto" w:fill="auto"/>
            <w:vAlign w:val="center"/>
          </w:tcPr>
          <w:p w14:paraId="381DD23C">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295" w:type="pct"/>
            <w:gridSpan w:val="2"/>
            <w:tcBorders>
              <w:tl2br w:val="nil"/>
              <w:tr2bl w:val="nil"/>
            </w:tcBorders>
            <w:shd w:val="clear" w:color="auto" w:fill="auto"/>
            <w:vAlign w:val="center"/>
          </w:tcPr>
          <w:p w14:paraId="17A134B2">
            <w:pPr>
              <w:keepNext w:val="0"/>
              <w:keepLines w:val="0"/>
              <w:pageBreakBefore w:val="0"/>
              <w:widowControl/>
              <w:suppressLineNumbers w:val="0"/>
              <w:wordWrap/>
              <w:topLinePunct w:val="0"/>
              <w:bidi w:val="0"/>
              <w:spacing w:line="4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r>
      <w:tr w14:paraId="4F5B98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5000" w:type="pct"/>
            <w:gridSpan w:val="7"/>
            <w:tcBorders>
              <w:tl2br w:val="nil"/>
              <w:tr2bl w:val="nil"/>
            </w:tcBorders>
            <w:vAlign w:val="center"/>
          </w:tcPr>
          <w:p w14:paraId="2E026FA1">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lang w:eastAsia="zh-CN"/>
              </w:rPr>
              <w:t>实训室软件部分</w:t>
            </w:r>
          </w:p>
        </w:tc>
      </w:tr>
      <w:tr w14:paraId="5666A2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330" w:type="pct"/>
            <w:gridSpan w:val="2"/>
            <w:tcBorders>
              <w:tl2br w:val="nil"/>
              <w:tr2bl w:val="nil"/>
            </w:tcBorders>
            <w:vAlign w:val="center"/>
          </w:tcPr>
          <w:p w14:paraId="5987EA71">
            <w:pPr>
              <w:keepNext w:val="0"/>
              <w:keepLines w:val="0"/>
              <w:pageBreakBefore w:val="0"/>
              <w:wordWrap/>
              <w:topLinePunct w:val="0"/>
              <w:bidi w:val="0"/>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序号</w:t>
            </w:r>
          </w:p>
        </w:tc>
        <w:tc>
          <w:tcPr>
            <w:tcW w:w="425" w:type="pct"/>
            <w:tcBorders>
              <w:tl2br w:val="nil"/>
              <w:tr2bl w:val="nil"/>
            </w:tcBorders>
            <w:vAlign w:val="center"/>
          </w:tcPr>
          <w:p w14:paraId="1E972295">
            <w:pPr>
              <w:keepNext w:val="0"/>
              <w:keepLines w:val="0"/>
              <w:pageBreakBefore w:val="0"/>
              <w:wordWrap/>
              <w:topLinePunct w:val="0"/>
              <w:bidi w:val="0"/>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设备名称</w:t>
            </w:r>
          </w:p>
        </w:tc>
        <w:tc>
          <w:tcPr>
            <w:tcW w:w="3718" w:type="pct"/>
            <w:tcBorders>
              <w:tl2br w:val="nil"/>
              <w:tr2bl w:val="nil"/>
            </w:tcBorders>
            <w:vAlign w:val="center"/>
          </w:tcPr>
          <w:p w14:paraId="6F6EB936">
            <w:pPr>
              <w:keepNext w:val="0"/>
              <w:keepLines w:val="0"/>
              <w:pageBreakBefore w:val="0"/>
              <w:wordWrap/>
              <w:topLinePunct w:val="0"/>
              <w:bidi w:val="0"/>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参数要求</w:t>
            </w:r>
          </w:p>
        </w:tc>
        <w:tc>
          <w:tcPr>
            <w:tcW w:w="233" w:type="pct"/>
            <w:gridSpan w:val="2"/>
            <w:tcBorders>
              <w:tl2br w:val="nil"/>
              <w:tr2bl w:val="nil"/>
            </w:tcBorders>
            <w:vAlign w:val="center"/>
          </w:tcPr>
          <w:p w14:paraId="5C94CAB5">
            <w:pPr>
              <w:keepNext w:val="0"/>
              <w:keepLines w:val="0"/>
              <w:pageBreakBefore w:val="0"/>
              <w:wordWrap/>
              <w:topLinePunct w:val="0"/>
              <w:bidi w:val="0"/>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数量</w:t>
            </w:r>
          </w:p>
        </w:tc>
        <w:tc>
          <w:tcPr>
            <w:tcW w:w="291" w:type="pct"/>
            <w:tcBorders>
              <w:tl2br w:val="nil"/>
              <w:tr2bl w:val="nil"/>
            </w:tcBorders>
            <w:vAlign w:val="center"/>
          </w:tcPr>
          <w:p w14:paraId="12E5FB4F">
            <w:pPr>
              <w:keepNext w:val="0"/>
              <w:keepLines w:val="0"/>
              <w:pageBreakBefore w:val="0"/>
              <w:wordWrap/>
              <w:topLinePunct w:val="0"/>
              <w:bidi w:val="0"/>
              <w:spacing w:line="440" w:lineRule="exact"/>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单位</w:t>
            </w:r>
          </w:p>
        </w:tc>
      </w:tr>
      <w:tr w14:paraId="2AFA2D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83" w:hRule="atLeast"/>
          <w:jc w:val="center"/>
        </w:trPr>
        <w:tc>
          <w:tcPr>
            <w:tcW w:w="327" w:type="pct"/>
            <w:tcBorders>
              <w:tl2br w:val="nil"/>
              <w:tr2bl w:val="nil"/>
            </w:tcBorders>
            <w:vAlign w:val="center"/>
          </w:tcPr>
          <w:p w14:paraId="2F787BB1">
            <w:pPr>
              <w:keepNext w:val="0"/>
              <w:keepLines w:val="0"/>
              <w:pageBreakBefore w:val="0"/>
              <w:wordWrap/>
              <w:topLinePunct w:val="0"/>
              <w:bidi w:val="0"/>
              <w:spacing w:line="44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c>
          <w:tcPr>
            <w:tcW w:w="429" w:type="pct"/>
            <w:gridSpan w:val="2"/>
            <w:tcBorders>
              <w:tl2br w:val="nil"/>
              <w:tr2bl w:val="nil"/>
            </w:tcBorders>
            <w:vAlign w:val="center"/>
          </w:tcPr>
          <w:p w14:paraId="3F6AB0EE">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新媒体营销实训系统（电子商务直播）</w:t>
            </w:r>
          </w:p>
        </w:tc>
        <w:tc>
          <w:tcPr>
            <w:tcW w:w="3718" w:type="pct"/>
            <w:tcBorders>
              <w:tl2br w:val="nil"/>
              <w:tr2bl w:val="nil"/>
            </w:tcBorders>
            <w:vAlign w:val="top"/>
          </w:tcPr>
          <w:p w14:paraId="5CBCAC13">
            <w:pPr>
              <w:numPr>
                <w:ilvl w:val="0"/>
                <w:numId w:val="0"/>
              </w:num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以直播活动的策划、推广、实施、复盘为核心，可对学生进行直播运营全过程的教学与实训。系统兼具仿真平台实训和教师在线教学双重功能，以直播市场分析、直播策划、 直播团队组建、直播产品选择、直播场景打造、直播推广、直播实施和直播复盘等模块 指导学生直播营销的理论知识和技能实训。系统设计了直播效果标准评分表，辅助教师完成学生直播效果的评价。</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一、技术及功能要求</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系统采用 B/S 架构设计，不需要安装客户端，通过浏览器访问，可支持基于校园网的应用。</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系统首页支持学生、教师、校级管理员使用不同的身份登录软件，不同的身份具有不同的操作权限。</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提供系统管理功能，教师用户采用实名制管理，教师账号保留与使用权限分开管理，允许多教师同时使用，分班管理。</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支持完整的教学过程管理功能，包括个人中心、班级管理、任务管理、作业评价、</w:t>
            </w:r>
            <w:r>
              <w:rPr>
                <w:rFonts w:hint="eastAsia" w:ascii="宋体" w:hAnsi="宋体" w:cs="宋体"/>
                <w:color w:val="auto"/>
                <w:sz w:val="21"/>
                <w:szCs w:val="21"/>
                <w:highlight w:val="none"/>
                <w:lang w:val="en-US" w:eastAsia="zh-CN"/>
              </w:rPr>
              <w:t>统计分析</w:t>
            </w:r>
            <w:r>
              <w:rPr>
                <w:rFonts w:hint="eastAsia" w:ascii="宋体" w:hAnsi="宋体" w:eastAsia="宋体" w:cs="宋体"/>
                <w:color w:val="auto"/>
                <w:sz w:val="21"/>
                <w:szCs w:val="21"/>
                <w:highlight w:val="none"/>
                <w:lang w:val="en-US" w:eastAsia="zh-CN"/>
              </w:rPr>
              <w:t>、竞赛管理和试题创建。</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教师用户的个人中心界面，要以图表或者排行的形式展现学生的实训成绩与完成数的分布，各任务完成的进度、不同任务成绩分析等。有明确的批阅指引，方便老师对学生提交的任务及时进行查看批阅。</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6</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任务批阅界面支持分数、评语两种评价方式，支持自定义评语进行快捷批阅。</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7</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教师端的统计分析提供按任务、学生两种形式的分析结果，采用图形和列表两种形式呈现。任务分析结果以进度和成绩的分析图为主，进度的主要分析要素是不同任务的完成率，成绩的分析图要体现出不同任务的成绩分布（最高分、最低分、平均分）。按学生进行分析的结果，以学生为变量，完成率和实训成绩为因变量，用图表或列表的形式展现出变量与因变量之间的关系。(提供功能界面截图、配套文字说明或图文展示材料，所有资料须加盖投标单位公章，承诺所提供资料均真实有效，与实际交付产品一致）</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8</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支持完整的实训学习管理以及模拟训练功能，包括个人信息管理、实训任务查看、提交等。</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9</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学生端个人中心界面，要直观体现任务完成的进度、个人成绩、待完成的任务、同班同学的任务进度排行、成绩排行等信息。</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10</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学生端对于不同的任务状态要明确标识出不同的标签，区分出已完成、未完成、已批阅，方便学生了解自己的实训完成情况。</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对于系统客观评分的任务提交后支持多次修改、重新上传。对于需要教师主观评分的任务，需要教师批阅后，方可修改。</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学生端与实训任务配套的教学资源与实训任务之间可在同一界面自由切换，随时查看。</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二、内容要求</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系统涵盖直播销售主要工作领域，涵盖优惠券管理、直播策划、直播实施以及直播监控等典型工作任务。</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实训系统关联配套课程资源，每个实训任务都设置对应教学资源，一对一针对性引导实训，方便教师授课。</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内置多个类目不少于 10 套的技能题库，能够满足课堂训练、课后巩固、实训评价、技能竞技的需要。</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系统内置的实训任务有明确的引导以及丰富案例。包括任务目标、任务背景、任务分析等内容，将整体任务颗粒化，每个任务按照步骤进行拆分，引导学生一步步克服困难，完成任务。</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提供 Andriod 端 APP 支持，可利用 Andriod 手机 APP 端进行直播任务，并支持直播实时录制。</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6</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直播实施的实训任务中根据不同的商品自动推送不同的问题、干扰弹幕，支持弹幕互动。</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7</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直播 APP 中进行直播时由智能机器人自动发出不同的问题和干扰弹幕，支持福利 抽奖、优惠券、秒杀推送、关注卡片、公告、粉丝推送、裂变优惠券、倒计时红包、投票等直播互动。</w:t>
            </w:r>
          </w:p>
          <w:p w14:paraId="6641EC12">
            <w:pPr>
              <w:numPr>
                <w:ilvl w:val="0"/>
                <w:numId w:val="0"/>
              </w:numPr>
              <w:spacing w:line="360" w:lineRule="auto"/>
              <w:ind w:leftChars="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直播过程中，可以通过直播监控查看直播间的实时表现，同时可以根据直播需求实时调整互动方案</w:t>
            </w:r>
            <w:r>
              <w:rPr>
                <w:rFonts w:hint="eastAsia" w:ascii="宋体" w:hAnsi="宋体" w:cs="宋体"/>
                <w:color w:val="auto"/>
                <w:sz w:val="21"/>
                <w:szCs w:val="21"/>
                <w:highlight w:val="none"/>
                <w:lang w:val="en-US" w:eastAsia="zh-CN"/>
              </w:rPr>
              <w:t>。</w:t>
            </w:r>
          </w:p>
          <w:p w14:paraId="30EB072E">
            <w:pPr>
              <w:numPr>
                <w:ilvl w:val="0"/>
                <w:numId w:val="0"/>
              </w:numPr>
              <w:spacing w:line="360" w:lineRule="auto"/>
              <w:ind w:left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直播结束系统提供直播相关数据，可以进行直播数据分析，总结直播经验与教训。</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三、其他要求</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投标人需保证正版软件</w:t>
            </w:r>
            <w:r>
              <w:rPr>
                <w:rFonts w:hint="eastAsia" w:asciiTheme="minorEastAsia" w:hAnsiTheme="minorEastAsia" w:eastAsiaTheme="minorEastAsia" w:cstheme="minorEastAsia"/>
                <w:color w:val="auto"/>
                <w:kern w:val="0"/>
              </w:rPr>
              <w:t>，因版权问题造成的一切后果均由投标人承担。</w:t>
            </w:r>
          </w:p>
          <w:p w14:paraId="37422DD0">
            <w:pPr>
              <w:keepNext w:val="0"/>
              <w:keepLines w:val="0"/>
              <w:pageBreakBefore w:val="0"/>
              <w:widowControl w:val="0"/>
              <w:kinsoku w:val="0"/>
              <w:wordWrap/>
              <w:overflowPunct w:val="0"/>
              <w:topLinePunct w:val="0"/>
              <w:autoSpaceDE w:val="0"/>
              <w:autoSpaceDN w:val="0"/>
              <w:bidi w:val="0"/>
              <w:adjustRightInd w:val="0"/>
              <w:snapToGrid w:val="0"/>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质保期不少于三年，质保期内提供产品安装、调试、培训、维修维护及升级更新服务等，发生的费用由投标人自行承担。</w:t>
            </w:r>
          </w:p>
        </w:tc>
        <w:tc>
          <w:tcPr>
            <w:tcW w:w="229" w:type="pct"/>
            <w:tcBorders>
              <w:tl2br w:val="nil"/>
              <w:tr2bl w:val="nil"/>
            </w:tcBorders>
            <w:vAlign w:val="center"/>
          </w:tcPr>
          <w:p w14:paraId="31C1761D">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295" w:type="pct"/>
            <w:gridSpan w:val="2"/>
            <w:tcBorders>
              <w:tl2br w:val="nil"/>
              <w:tr2bl w:val="nil"/>
            </w:tcBorders>
            <w:vAlign w:val="center"/>
          </w:tcPr>
          <w:p w14:paraId="6454838F">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套</w:t>
            </w:r>
          </w:p>
        </w:tc>
      </w:tr>
      <w:tr w14:paraId="1AB190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000" w:type="pct"/>
            <w:gridSpan w:val="7"/>
            <w:tcBorders>
              <w:tl2br w:val="nil"/>
              <w:tr2bl w:val="nil"/>
            </w:tcBorders>
            <w:vAlign w:val="center"/>
          </w:tcPr>
          <w:p w14:paraId="49355AFD">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三、实训室文化设计</w:t>
            </w:r>
          </w:p>
        </w:tc>
      </w:tr>
      <w:tr w14:paraId="1B1CA7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327" w:type="pct"/>
            <w:tcBorders>
              <w:tl2br w:val="nil"/>
              <w:tr2bl w:val="nil"/>
            </w:tcBorders>
            <w:shd w:val="clear" w:color="auto" w:fill="auto"/>
            <w:vAlign w:val="center"/>
          </w:tcPr>
          <w:p w14:paraId="5A17DDE7">
            <w:pPr>
              <w:keepNext w:val="0"/>
              <w:keepLines w:val="0"/>
              <w:pageBreakBefore w:val="0"/>
              <w:wordWrap/>
              <w:topLinePunct w:val="0"/>
              <w:bidi w:val="0"/>
              <w:spacing w:line="44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序号</w:t>
            </w:r>
          </w:p>
        </w:tc>
        <w:tc>
          <w:tcPr>
            <w:tcW w:w="429" w:type="pct"/>
            <w:gridSpan w:val="2"/>
            <w:tcBorders>
              <w:tl2br w:val="nil"/>
              <w:tr2bl w:val="nil"/>
            </w:tcBorders>
            <w:shd w:val="clear" w:color="auto" w:fill="auto"/>
            <w:vAlign w:val="center"/>
          </w:tcPr>
          <w:p w14:paraId="48BF1070">
            <w:pPr>
              <w:keepNext w:val="0"/>
              <w:keepLines w:val="0"/>
              <w:pageBreakBefore w:val="0"/>
              <w:wordWrap/>
              <w:topLinePunct w:val="0"/>
              <w:bidi w:val="0"/>
              <w:spacing w:line="44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设备名称</w:t>
            </w:r>
          </w:p>
        </w:tc>
        <w:tc>
          <w:tcPr>
            <w:tcW w:w="3718" w:type="pct"/>
            <w:tcBorders>
              <w:tl2br w:val="nil"/>
              <w:tr2bl w:val="nil"/>
            </w:tcBorders>
            <w:shd w:val="clear" w:color="auto" w:fill="auto"/>
            <w:vAlign w:val="center"/>
          </w:tcPr>
          <w:p w14:paraId="4AE0F783">
            <w:pPr>
              <w:keepNext w:val="0"/>
              <w:keepLines w:val="0"/>
              <w:pageBreakBefore w:val="0"/>
              <w:wordWrap/>
              <w:topLinePunct w:val="0"/>
              <w:bidi w:val="0"/>
              <w:spacing w:line="44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参数要求</w:t>
            </w:r>
          </w:p>
        </w:tc>
        <w:tc>
          <w:tcPr>
            <w:tcW w:w="229" w:type="pct"/>
            <w:tcBorders>
              <w:tl2br w:val="nil"/>
              <w:tr2bl w:val="nil"/>
            </w:tcBorders>
            <w:shd w:val="clear" w:color="auto" w:fill="auto"/>
            <w:vAlign w:val="center"/>
          </w:tcPr>
          <w:p w14:paraId="1146A3CE">
            <w:pPr>
              <w:keepNext w:val="0"/>
              <w:keepLines w:val="0"/>
              <w:pageBreakBefore w:val="0"/>
              <w:wordWrap/>
              <w:topLinePunct w:val="0"/>
              <w:bidi w:val="0"/>
              <w:spacing w:line="44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数量</w:t>
            </w:r>
          </w:p>
        </w:tc>
        <w:tc>
          <w:tcPr>
            <w:tcW w:w="295" w:type="pct"/>
            <w:gridSpan w:val="2"/>
            <w:tcBorders>
              <w:tl2br w:val="nil"/>
              <w:tr2bl w:val="nil"/>
            </w:tcBorders>
            <w:shd w:val="clear" w:color="auto" w:fill="auto"/>
            <w:vAlign w:val="center"/>
          </w:tcPr>
          <w:p w14:paraId="0E797022">
            <w:pPr>
              <w:keepNext w:val="0"/>
              <w:keepLines w:val="0"/>
              <w:pageBreakBefore w:val="0"/>
              <w:wordWrap/>
              <w:topLinePunct w:val="0"/>
              <w:bidi w:val="0"/>
              <w:spacing w:line="44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单位</w:t>
            </w:r>
          </w:p>
        </w:tc>
      </w:tr>
      <w:tr w14:paraId="6DEC9A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327" w:type="pct"/>
            <w:tcBorders>
              <w:tl2br w:val="nil"/>
              <w:tr2bl w:val="nil"/>
            </w:tcBorders>
            <w:vAlign w:val="center"/>
          </w:tcPr>
          <w:p w14:paraId="684C5EF5">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p>
        </w:tc>
        <w:tc>
          <w:tcPr>
            <w:tcW w:w="429" w:type="pct"/>
            <w:gridSpan w:val="2"/>
            <w:tcBorders>
              <w:tl2br w:val="nil"/>
              <w:tr2bl w:val="nil"/>
            </w:tcBorders>
            <w:vAlign w:val="center"/>
          </w:tcPr>
          <w:p w14:paraId="7B0D86E7">
            <w:pPr>
              <w:keepNext w:val="0"/>
              <w:keepLines w:val="0"/>
              <w:pageBreakBefore w:val="0"/>
              <w:wordWrap/>
              <w:topLinePunct w:val="0"/>
              <w:bidi w:val="0"/>
              <w:spacing w:line="4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实训室</w:t>
            </w:r>
            <w:r>
              <w:rPr>
                <w:rFonts w:hint="eastAsia" w:ascii="宋体" w:hAnsi="宋体" w:eastAsia="宋体" w:cs="宋体"/>
                <w:color w:val="auto"/>
                <w:sz w:val="21"/>
                <w:szCs w:val="21"/>
                <w:highlight w:val="none"/>
                <w:lang w:val="en-US" w:eastAsia="zh-CN"/>
              </w:rPr>
              <w:t>文化设计</w:t>
            </w:r>
          </w:p>
        </w:tc>
        <w:tc>
          <w:tcPr>
            <w:tcW w:w="3718" w:type="pct"/>
            <w:tcBorders>
              <w:tl2br w:val="nil"/>
              <w:tr2bl w:val="nil"/>
            </w:tcBorders>
            <w:vAlign w:val="center"/>
          </w:tcPr>
          <w:p w14:paraId="1951E73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包含原有空间的物体及设备拆除、垃圾处理，直播间隔断、门窗更换、墙面吸音处理、照明处理、地面处理、强弱电综合布线、网络实施、实训室文化建设等。</w:t>
            </w:r>
          </w:p>
        </w:tc>
        <w:tc>
          <w:tcPr>
            <w:tcW w:w="229" w:type="pct"/>
            <w:tcBorders>
              <w:tl2br w:val="nil"/>
              <w:tr2bl w:val="nil"/>
            </w:tcBorders>
            <w:vAlign w:val="center"/>
          </w:tcPr>
          <w:p w14:paraId="541B39E6">
            <w:pPr>
              <w:keepNext w:val="0"/>
              <w:keepLines w:val="0"/>
              <w:pageBreakBefore w:val="0"/>
              <w:wordWrap/>
              <w:topLinePunct w:val="0"/>
              <w:bidi w:val="0"/>
              <w:spacing w:line="44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295" w:type="pct"/>
            <w:gridSpan w:val="2"/>
            <w:tcBorders>
              <w:tl2br w:val="nil"/>
              <w:tr2bl w:val="nil"/>
            </w:tcBorders>
            <w:vAlign w:val="center"/>
          </w:tcPr>
          <w:p w14:paraId="5B77F573">
            <w:pPr>
              <w:keepNext w:val="0"/>
              <w:keepLines w:val="0"/>
              <w:pageBreakBefore w:val="0"/>
              <w:wordWrap/>
              <w:topLinePunct w:val="0"/>
              <w:bidi w:val="0"/>
              <w:spacing w:line="44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w:t>
            </w:r>
          </w:p>
        </w:tc>
      </w:tr>
    </w:tbl>
    <w:p w14:paraId="1C5C4254">
      <w:pPr>
        <w:keepNext w:val="0"/>
        <w:keepLines w:val="0"/>
        <w:pageBreakBefore w:val="0"/>
        <w:kinsoku/>
        <w:wordWrap/>
        <w:overflowPunct/>
        <w:topLinePunct w:val="0"/>
        <w:autoSpaceDE/>
        <w:autoSpaceDN/>
        <w:bidi w:val="0"/>
        <w:adjustRightInd/>
        <w:snapToGrid/>
        <w:spacing w:line="440" w:lineRule="exact"/>
        <w:jc w:val="left"/>
        <w:textAlignment w:val="auto"/>
        <w:rPr>
          <w:rFonts w:hint="default" w:ascii="宋体" w:hAnsi="宋体" w:eastAsia="宋体" w:cs="宋体"/>
          <w:b w:val="0"/>
          <w:bCs/>
          <w:sz w:val="24"/>
          <w:szCs w:val="24"/>
          <w:highlight w:val="none"/>
          <w:lang w:val="en-US" w:eastAsia="zh-CN"/>
        </w:rPr>
      </w:pPr>
      <w:r>
        <w:rPr>
          <w:rFonts w:hint="default" w:ascii="宋体" w:hAnsi="宋体" w:eastAsia="宋体" w:cs="宋体"/>
          <w:b w:val="0"/>
          <w:bCs/>
          <w:sz w:val="24"/>
          <w:szCs w:val="24"/>
          <w:highlight w:val="none"/>
          <w:lang w:val="en-US" w:eastAsia="zh-CN"/>
        </w:rPr>
        <w:t>注：</w:t>
      </w:r>
    </w:p>
    <w:p w14:paraId="71AC1DD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eastAsia="宋体" w:cs="宋体"/>
          <w:b w:val="0"/>
          <w:bCs/>
          <w:sz w:val="24"/>
          <w:szCs w:val="24"/>
          <w:highlight w:val="none"/>
          <w:lang w:val="en-US" w:eastAsia="zh-CN"/>
        </w:rPr>
      </w:pPr>
      <w:r>
        <w:rPr>
          <w:rFonts w:hint="default" w:ascii="宋体" w:hAnsi="宋体" w:eastAsia="宋体" w:cs="宋体"/>
          <w:b w:val="0"/>
          <w:bCs/>
          <w:sz w:val="24"/>
          <w:szCs w:val="24"/>
          <w:highlight w:val="none"/>
          <w:lang w:val="en-US" w:eastAsia="zh-CN"/>
        </w:rPr>
        <w:t>1.属于节能产品政府采购清单规定必须强制采购的,必须采购当期节能产品政府采购清单内设备或产品；在技术、服务等指标同等条件下，优先采购节能、环保产品。</w:t>
      </w:r>
    </w:p>
    <w:p w14:paraId="6103D6C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eastAsia="宋体" w:cs="宋体"/>
          <w:b w:val="0"/>
          <w:bCs/>
          <w:sz w:val="24"/>
          <w:szCs w:val="24"/>
          <w:highlight w:val="none"/>
          <w:lang w:val="en-US" w:eastAsia="zh-CN"/>
        </w:rPr>
      </w:pPr>
      <w:r>
        <w:rPr>
          <w:rFonts w:hint="default" w:ascii="宋体" w:hAnsi="宋体" w:eastAsia="宋体" w:cs="宋体"/>
          <w:b w:val="0"/>
          <w:bCs/>
          <w:sz w:val="24"/>
          <w:szCs w:val="24"/>
          <w:highlight w:val="none"/>
          <w:lang w:val="en-US" w:eastAsia="zh-CN"/>
        </w:rPr>
        <w:t>2.投标文件中的检测报告，业绩，售后服务承诺函等证明材料，投标人应将证明材料彩色扫描后放投标文件中。</w:t>
      </w:r>
    </w:p>
    <w:p w14:paraId="29B89EA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eastAsia="宋体" w:cs="宋体"/>
          <w:b w:val="0"/>
          <w:bCs/>
          <w:sz w:val="24"/>
          <w:szCs w:val="24"/>
          <w:highlight w:val="none"/>
          <w:lang w:val="en-US" w:eastAsia="zh-CN"/>
        </w:rPr>
      </w:pPr>
      <w:r>
        <w:rPr>
          <w:rFonts w:hint="default" w:ascii="宋体" w:hAnsi="宋体" w:eastAsia="宋体" w:cs="宋体"/>
          <w:b w:val="0"/>
          <w:bCs/>
          <w:sz w:val="24"/>
          <w:szCs w:val="24"/>
          <w:highlight w:val="none"/>
          <w:lang w:val="en-US" w:eastAsia="zh-CN"/>
        </w:rPr>
        <w:t>3.投标人提供的货物必须是全新、高于或等于招标文件规定技术参数，具有生产厂家质量合格证明的设备或产品。</w:t>
      </w:r>
    </w:p>
    <w:p w14:paraId="772D223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eastAsia="宋体" w:cs="宋体"/>
          <w:b w:val="0"/>
          <w:bCs/>
          <w:sz w:val="24"/>
          <w:szCs w:val="24"/>
          <w:highlight w:val="none"/>
          <w:lang w:val="en-US" w:eastAsia="zh-CN"/>
        </w:rPr>
      </w:pPr>
      <w:r>
        <w:rPr>
          <w:rFonts w:hint="default" w:ascii="宋体" w:hAnsi="宋体" w:eastAsia="宋体" w:cs="宋体"/>
          <w:b w:val="0"/>
          <w:bCs/>
          <w:sz w:val="24"/>
          <w:szCs w:val="24"/>
          <w:highlight w:val="none"/>
          <w:lang w:val="en-US" w:eastAsia="zh-CN"/>
        </w:rPr>
        <w:t>4.同一品牌的认定及核心产品的确定：依据中华人民共和国财政部令第87号令《政府采购货物和服务招标投标管理办法》第三十一条要求。提供相同品牌产品且通过资格审查、符合性审查的不同投标人参加同一标段投标的，按一家投标人计算，评审后得分最高的同品牌投标人获得中标人推荐资格；评审得分相同的，按照价格分得分最高的同品牌投标人获得中标人推荐资格，其他同品牌投标人不作为中标候选人。非单一产品采购项目中，多家投标人提供的核心产品品牌完全相同的，视为提供相同品牌产品。依据项目占比及技术复杂性。</w:t>
      </w:r>
    </w:p>
    <w:p w14:paraId="0005A801">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eastAsia="宋体" w:cs="宋体"/>
          <w:b/>
          <w:bCs w:val="0"/>
          <w:color w:val="auto"/>
          <w:kern w:val="2"/>
          <w:sz w:val="22"/>
          <w:szCs w:val="22"/>
          <w:highlight w:val="none"/>
          <w:lang w:val="en-US" w:eastAsia="zh-CN" w:bidi="ar-SA"/>
        </w:rPr>
      </w:pPr>
      <w:r>
        <w:rPr>
          <w:rFonts w:hint="eastAsia" w:ascii="宋体" w:hAnsi="宋体" w:eastAsia="宋体" w:cs="宋体"/>
          <w:b w:val="0"/>
          <w:bCs/>
          <w:color w:val="auto"/>
          <w:sz w:val="24"/>
          <w:szCs w:val="24"/>
          <w:highlight w:val="none"/>
          <w:lang w:val="en-US" w:eastAsia="zh-CN"/>
        </w:rPr>
        <w:t>5.</w:t>
      </w:r>
      <w:r>
        <w:rPr>
          <w:rFonts w:hint="default" w:ascii="宋体" w:hAnsi="宋体" w:eastAsia="宋体" w:cs="宋体"/>
          <w:b w:val="0"/>
          <w:bCs/>
          <w:color w:val="auto"/>
          <w:sz w:val="24"/>
          <w:szCs w:val="24"/>
          <w:highlight w:val="none"/>
          <w:lang w:val="en-US" w:eastAsia="zh-CN"/>
        </w:rPr>
        <w:t>本项目核心产品为：直播智能终端</w:t>
      </w:r>
    </w:p>
    <w:p w14:paraId="61776228">
      <w:pPr>
        <w:rPr>
          <w:rFonts w:hint="eastAsia" w:ascii="宋体" w:hAnsi="宋体"/>
          <w:color w:val="000000" w:themeColor="text1"/>
          <w:sz w:val="36"/>
          <w:szCs w:val="36"/>
          <w:highlight w:val="none"/>
          <w14:textFill>
            <w14:solidFill>
              <w14:schemeClr w14:val="tx1"/>
            </w14:solidFill>
          </w14:textFill>
        </w:rPr>
      </w:pPr>
      <w:bookmarkStart w:id="127" w:name="_Toc19501"/>
      <w:r>
        <w:rPr>
          <w:rFonts w:hint="eastAsia" w:ascii="宋体" w:hAnsi="宋体"/>
          <w:color w:val="000000" w:themeColor="text1"/>
          <w:sz w:val="36"/>
          <w:szCs w:val="36"/>
          <w:highlight w:val="none"/>
          <w14:textFill>
            <w14:solidFill>
              <w14:schemeClr w14:val="tx1"/>
            </w14:solidFill>
          </w14:textFill>
        </w:rPr>
        <w:br w:type="page"/>
      </w:r>
    </w:p>
    <w:p w14:paraId="574CCC26">
      <w:pPr>
        <w:pStyle w:val="33"/>
        <w:jc w:val="center"/>
        <w:rPr>
          <w:rFonts w:hint="eastAsia" w:ascii="宋体" w:hAnsi="宋体"/>
          <w:color w:val="000000" w:themeColor="text1"/>
          <w:sz w:val="36"/>
          <w:szCs w:val="36"/>
          <w:highlight w:val="none"/>
          <w14:textFill>
            <w14:solidFill>
              <w14:schemeClr w14:val="tx1"/>
            </w14:solidFill>
          </w14:textFill>
        </w:rPr>
      </w:pPr>
      <w:r>
        <w:rPr>
          <w:rFonts w:hint="eastAsia" w:ascii="宋体" w:hAnsi="宋体"/>
          <w:color w:val="000000" w:themeColor="text1"/>
          <w:sz w:val="36"/>
          <w:szCs w:val="36"/>
          <w:highlight w:val="none"/>
          <w14:textFill>
            <w14:solidFill>
              <w14:schemeClr w14:val="tx1"/>
            </w14:solidFill>
          </w14:textFill>
        </w:rPr>
        <w:t>第六章  投标文件格式</w:t>
      </w:r>
      <w:bookmarkEnd w:id="127"/>
    </w:p>
    <w:p w14:paraId="439F36C9">
      <w:pPr>
        <w:spacing w:before="312"/>
        <w:jc w:val="center"/>
        <w:rPr>
          <w:rFonts w:hint="eastAsia" w:ascii="宋体" w:hAnsi="宋体" w:eastAsia="宋体"/>
          <w:b/>
          <w:bCs/>
          <w:color w:val="000000" w:themeColor="text1"/>
          <w:kern w:val="0"/>
          <w:sz w:val="40"/>
          <w:szCs w:val="40"/>
          <w:highlight w:val="none"/>
          <w:lang w:eastAsia="zh-CN"/>
          <w14:textFill>
            <w14:solidFill>
              <w14:schemeClr w14:val="tx1"/>
            </w14:solidFill>
          </w14:textFill>
        </w:rPr>
      </w:pPr>
      <w:r>
        <w:rPr>
          <w:rFonts w:hint="eastAsia" w:ascii="宋体" w:hAnsi="宋体"/>
          <w:b/>
          <w:bCs/>
          <w:color w:val="000000" w:themeColor="text1"/>
          <w:kern w:val="0"/>
          <w:sz w:val="40"/>
          <w:szCs w:val="40"/>
          <w:highlight w:val="none"/>
          <w:lang w:eastAsia="zh-CN"/>
          <w14:textFill>
            <w14:solidFill>
              <w14:schemeClr w14:val="tx1"/>
            </w14:solidFill>
          </w14:textFill>
        </w:rPr>
        <w:t>平顶山市工业学校新媒体营销实训系统及实训室建设项目</w:t>
      </w:r>
    </w:p>
    <w:p w14:paraId="66F46261">
      <w:pPr>
        <w:spacing w:before="312"/>
        <w:jc w:val="center"/>
        <w:rPr>
          <w:rFonts w:hint="eastAsia" w:ascii="宋体" w:hAnsi="宋体"/>
          <w:color w:val="000000" w:themeColor="text1"/>
          <w:sz w:val="72"/>
          <w:szCs w:val="72"/>
          <w:highlight w:val="none"/>
          <w14:textFill>
            <w14:solidFill>
              <w14:schemeClr w14:val="tx1"/>
            </w14:solidFill>
          </w14:textFill>
        </w:rPr>
      </w:pPr>
    </w:p>
    <w:p w14:paraId="072FE663">
      <w:pPr>
        <w:spacing w:before="312"/>
        <w:jc w:val="center"/>
        <w:rPr>
          <w:rFonts w:hint="eastAsia" w:ascii="宋体" w:hAnsi="宋体"/>
          <w:color w:val="000000" w:themeColor="text1"/>
          <w:sz w:val="72"/>
          <w:szCs w:val="72"/>
          <w:highlight w:val="none"/>
          <w14:textFill>
            <w14:solidFill>
              <w14:schemeClr w14:val="tx1"/>
            </w14:solidFill>
          </w14:textFill>
        </w:rPr>
      </w:pPr>
      <w:r>
        <w:rPr>
          <w:rFonts w:hint="eastAsia" w:ascii="宋体" w:hAnsi="宋体"/>
          <w:color w:val="000000" w:themeColor="text1"/>
          <w:sz w:val="72"/>
          <w:szCs w:val="72"/>
          <w:highlight w:val="none"/>
          <w14:textFill>
            <w14:solidFill>
              <w14:schemeClr w14:val="tx1"/>
            </w14:solidFill>
          </w14:textFill>
        </w:rPr>
        <w:t>投  标  文  件</w:t>
      </w:r>
    </w:p>
    <w:p w14:paraId="4B5BEE00">
      <w:pPr>
        <w:jc w:val="center"/>
        <w:rPr>
          <w:rFonts w:hint="eastAsia" w:ascii="宋体" w:hAnsi="宋体"/>
          <w:color w:val="000000" w:themeColor="text1"/>
          <w:sz w:val="30"/>
          <w:szCs w:val="30"/>
          <w:highlight w:val="none"/>
          <w14:textFill>
            <w14:solidFill>
              <w14:schemeClr w14:val="tx1"/>
            </w14:solidFill>
          </w14:textFill>
        </w:rPr>
      </w:pPr>
    </w:p>
    <w:p w14:paraId="2C0BE479">
      <w:pPr>
        <w:jc w:val="center"/>
        <w:rPr>
          <w:rFonts w:hint="eastAsia" w:ascii="宋体" w:hAnsi="宋体"/>
          <w:color w:val="000000" w:themeColor="text1"/>
          <w:sz w:val="30"/>
          <w:szCs w:val="30"/>
          <w:highlight w:val="none"/>
          <w14:textFill>
            <w14:solidFill>
              <w14:schemeClr w14:val="tx1"/>
            </w14:solidFill>
          </w14:textFill>
        </w:rPr>
      </w:pPr>
    </w:p>
    <w:p w14:paraId="7A0C042A">
      <w:pPr>
        <w:jc w:val="center"/>
        <w:rPr>
          <w:rFonts w:hint="eastAsia" w:ascii="宋体" w:hAnsi="宋体"/>
          <w:b/>
          <w:color w:val="000000" w:themeColor="text1"/>
          <w:sz w:val="30"/>
          <w:highlight w:val="none"/>
          <w14:textFill>
            <w14:solidFill>
              <w14:schemeClr w14:val="tx1"/>
            </w14:solidFill>
          </w14:textFill>
        </w:rPr>
      </w:pPr>
      <w:r>
        <w:rPr>
          <w:rFonts w:hint="eastAsia" w:ascii="宋体" w:hAnsi="宋体"/>
          <w:b/>
          <w:color w:val="000000" w:themeColor="text1"/>
          <w:sz w:val="30"/>
          <w:highlight w:val="none"/>
          <w14:textFill>
            <w14:solidFill>
              <w14:schemeClr w14:val="tx1"/>
            </w14:solidFill>
          </w14:textFill>
        </w:rPr>
        <w:t>项目编号：</w:t>
      </w:r>
    </w:p>
    <w:p w14:paraId="20105CAF">
      <w:pPr>
        <w:ind w:firstLine="2520" w:firstLineChars="1050"/>
        <w:rPr>
          <w:rFonts w:hint="eastAsia" w:ascii="宋体" w:hAnsi="宋体"/>
          <w:color w:val="000000" w:themeColor="text1"/>
          <w:sz w:val="24"/>
          <w:szCs w:val="24"/>
          <w:highlight w:val="none"/>
          <w14:textFill>
            <w14:solidFill>
              <w14:schemeClr w14:val="tx1"/>
            </w14:solidFill>
          </w14:textFill>
        </w:rPr>
      </w:pPr>
    </w:p>
    <w:p w14:paraId="0EA6594C">
      <w:pPr>
        <w:jc w:val="center"/>
        <w:rPr>
          <w:rFonts w:hint="eastAsia" w:ascii="宋体" w:hAnsi="宋体"/>
          <w:color w:val="000000" w:themeColor="text1"/>
          <w:sz w:val="24"/>
          <w:szCs w:val="24"/>
          <w:highlight w:val="none"/>
          <w14:textFill>
            <w14:solidFill>
              <w14:schemeClr w14:val="tx1"/>
            </w14:solidFill>
          </w14:textFill>
        </w:rPr>
      </w:pPr>
    </w:p>
    <w:p w14:paraId="34133644">
      <w:pPr>
        <w:jc w:val="center"/>
        <w:rPr>
          <w:rFonts w:hint="eastAsia" w:ascii="宋体" w:hAnsi="宋体"/>
          <w:color w:val="000000" w:themeColor="text1"/>
          <w:sz w:val="24"/>
          <w:szCs w:val="24"/>
          <w:highlight w:val="none"/>
          <w14:textFill>
            <w14:solidFill>
              <w14:schemeClr w14:val="tx1"/>
            </w14:solidFill>
          </w14:textFill>
        </w:rPr>
      </w:pPr>
    </w:p>
    <w:p w14:paraId="669019AD">
      <w:pPr>
        <w:jc w:val="center"/>
        <w:rPr>
          <w:rFonts w:hint="eastAsia" w:ascii="宋体" w:hAnsi="宋体"/>
          <w:color w:val="000000" w:themeColor="text1"/>
          <w:sz w:val="24"/>
          <w:szCs w:val="24"/>
          <w:highlight w:val="none"/>
          <w14:textFill>
            <w14:solidFill>
              <w14:schemeClr w14:val="tx1"/>
            </w14:solidFill>
          </w14:textFill>
        </w:rPr>
      </w:pPr>
    </w:p>
    <w:p w14:paraId="45B4D681">
      <w:pPr>
        <w:jc w:val="center"/>
        <w:rPr>
          <w:rFonts w:hint="eastAsia" w:ascii="宋体" w:hAnsi="宋体"/>
          <w:color w:val="000000" w:themeColor="text1"/>
          <w:sz w:val="24"/>
          <w:szCs w:val="24"/>
          <w:highlight w:val="none"/>
          <w14:textFill>
            <w14:solidFill>
              <w14:schemeClr w14:val="tx1"/>
            </w14:solidFill>
          </w14:textFill>
        </w:rPr>
      </w:pPr>
    </w:p>
    <w:p w14:paraId="6070FAB2">
      <w:pPr>
        <w:jc w:val="center"/>
        <w:rPr>
          <w:rFonts w:hint="eastAsia" w:ascii="宋体" w:hAnsi="宋体"/>
          <w:color w:val="000000" w:themeColor="text1"/>
          <w:sz w:val="24"/>
          <w:szCs w:val="24"/>
          <w:highlight w:val="none"/>
          <w14:textFill>
            <w14:solidFill>
              <w14:schemeClr w14:val="tx1"/>
            </w14:solidFill>
          </w14:textFill>
        </w:rPr>
      </w:pPr>
    </w:p>
    <w:p w14:paraId="21DEED51">
      <w:pPr>
        <w:jc w:val="center"/>
        <w:rPr>
          <w:rFonts w:hint="eastAsia" w:ascii="宋体" w:hAnsi="宋体"/>
          <w:color w:val="000000" w:themeColor="text1"/>
          <w:sz w:val="24"/>
          <w:szCs w:val="24"/>
          <w:highlight w:val="none"/>
          <w14:textFill>
            <w14:solidFill>
              <w14:schemeClr w14:val="tx1"/>
            </w14:solidFill>
          </w14:textFill>
        </w:rPr>
      </w:pPr>
    </w:p>
    <w:p w14:paraId="4EA6E7D2">
      <w:pPr>
        <w:rPr>
          <w:rFonts w:hint="eastAsia" w:ascii="宋体" w:hAnsi="宋体"/>
          <w:color w:val="000000" w:themeColor="text1"/>
          <w:sz w:val="24"/>
          <w:szCs w:val="24"/>
          <w:highlight w:val="none"/>
          <w14:textFill>
            <w14:solidFill>
              <w14:schemeClr w14:val="tx1"/>
            </w14:solidFill>
          </w14:textFill>
        </w:rPr>
      </w:pPr>
    </w:p>
    <w:p w14:paraId="26BD8D9F">
      <w:pPr>
        <w:jc w:val="center"/>
        <w:rPr>
          <w:rFonts w:hint="eastAsia" w:ascii="宋体" w:hAnsi="宋体"/>
          <w:color w:val="000000" w:themeColor="text1"/>
          <w:sz w:val="24"/>
          <w:szCs w:val="24"/>
          <w:highlight w:val="none"/>
          <w14:textFill>
            <w14:solidFill>
              <w14:schemeClr w14:val="tx1"/>
            </w14:solidFill>
          </w14:textFill>
        </w:rPr>
      </w:pPr>
    </w:p>
    <w:p w14:paraId="3D048067">
      <w:pPr>
        <w:rPr>
          <w:rFonts w:hint="eastAsia" w:ascii="宋体" w:hAnsi="宋体"/>
          <w:color w:val="000000" w:themeColor="text1"/>
          <w:sz w:val="24"/>
          <w:szCs w:val="24"/>
          <w:highlight w:val="none"/>
          <w14:textFill>
            <w14:solidFill>
              <w14:schemeClr w14:val="tx1"/>
            </w14:solidFill>
          </w14:textFill>
        </w:rPr>
      </w:pPr>
    </w:p>
    <w:p w14:paraId="05188098">
      <w:pPr>
        <w:jc w:val="center"/>
        <w:rPr>
          <w:rFonts w:hint="eastAsia" w:ascii="宋体" w:hAnsi="宋体"/>
          <w:color w:val="000000" w:themeColor="text1"/>
          <w:sz w:val="24"/>
          <w:szCs w:val="24"/>
          <w:highlight w:val="none"/>
          <w14:textFill>
            <w14:solidFill>
              <w14:schemeClr w14:val="tx1"/>
            </w14:solidFill>
          </w14:textFill>
        </w:rPr>
      </w:pPr>
    </w:p>
    <w:p w14:paraId="166BA02C">
      <w:pPr>
        <w:spacing w:line="600" w:lineRule="exact"/>
        <w:ind w:right="560" w:firstLine="1400" w:firstLineChars="5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投    标    人：（电子印章）</w:t>
      </w:r>
      <w:r>
        <w:rPr>
          <w:rFonts w:hint="eastAsia" w:ascii="宋体" w:hAnsi="宋体"/>
          <w:color w:val="000000" w:themeColor="text1"/>
          <w:sz w:val="28"/>
          <w:szCs w:val="28"/>
          <w:highlight w:val="none"/>
          <w:u w:val="single"/>
          <w14:textFill>
            <w14:solidFill>
              <w14:schemeClr w14:val="tx1"/>
            </w14:solidFill>
          </w14:textFill>
        </w:rPr>
        <w:t xml:space="preserve">             </w:t>
      </w:r>
    </w:p>
    <w:p w14:paraId="1BEC5A9A">
      <w:pPr>
        <w:spacing w:line="600" w:lineRule="exact"/>
        <w:ind w:right="561" w:firstLine="1400" w:firstLineChars="5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法 定 代 表 人：（电子签章）</w:t>
      </w:r>
      <w:r>
        <w:rPr>
          <w:rFonts w:hint="eastAsia" w:ascii="宋体" w:hAnsi="宋体"/>
          <w:color w:val="000000" w:themeColor="text1"/>
          <w:sz w:val="28"/>
          <w:szCs w:val="28"/>
          <w:highlight w:val="none"/>
          <w:u w:val="single"/>
          <w14:textFill>
            <w14:solidFill>
              <w14:schemeClr w14:val="tx1"/>
            </w14:solidFill>
          </w14:textFill>
        </w:rPr>
        <w:t xml:space="preserve">             </w:t>
      </w:r>
    </w:p>
    <w:p w14:paraId="08C1C978">
      <w:pPr>
        <w:spacing w:line="600" w:lineRule="exact"/>
        <w:jc w:val="center"/>
        <w:rPr>
          <w:rFonts w:hint="eastAsia" w:ascii="宋体" w:hAnsi="宋体"/>
          <w:color w:val="000000" w:themeColor="text1"/>
          <w:sz w:val="28"/>
          <w:szCs w:val="28"/>
          <w:highlight w:val="none"/>
          <w14:textFill>
            <w14:solidFill>
              <w14:schemeClr w14:val="tx1"/>
            </w14:solidFill>
          </w14:textFill>
        </w:rPr>
      </w:pPr>
    </w:p>
    <w:p w14:paraId="62C1DA60">
      <w:pPr>
        <w:jc w:val="center"/>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年  月  日</w:t>
      </w:r>
    </w:p>
    <w:p w14:paraId="6AF3A408">
      <w:pPr>
        <w:jc w:val="center"/>
        <w:rPr>
          <w:rFonts w:hint="eastAsia" w:ascii="宋体" w:hAnsi="宋体"/>
          <w:color w:val="000000" w:themeColor="text1"/>
          <w:sz w:val="36"/>
          <w:szCs w:val="36"/>
          <w:highlight w:val="none"/>
          <w14:textFill>
            <w14:solidFill>
              <w14:schemeClr w14:val="tx1"/>
            </w14:solidFill>
          </w14:textFill>
        </w:rPr>
      </w:pPr>
      <w:r>
        <w:rPr>
          <w:rFonts w:hint="eastAsia" w:ascii="宋体" w:hAnsi="宋体"/>
          <w:color w:val="000000" w:themeColor="text1"/>
          <w:sz w:val="36"/>
          <w:szCs w:val="36"/>
          <w:highlight w:val="none"/>
          <w14:textFill>
            <w14:solidFill>
              <w14:schemeClr w14:val="tx1"/>
            </w14:solidFill>
          </w14:textFill>
        </w:rPr>
        <w:br w:type="page"/>
      </w:r>
      <w:r>
        <w:rPr>
          <w:rFonts w:hint="eastAsia" w:ascii="宋体" w:hAnsi="宋体"/>
          <w:color w:val="000000" w:themeColor="text1"/>
          <w:sz w:val="36"/>
          <w:szCs w:val="36"/>
          <w:highlight w:val="none"/>
          <w14:textFill>
            <w14:solidFill>
              <w14:schemeClr w14:val="tx1"/>
            </w14:solidFill>
          </w14:textFill>
        </w:rPr>
        <w:t>目    录</w:t>
      </w:r>
    </w:p>
    <w:p w14:paraId="4AD8D021">
      <w:pPr>
        <w:ind w:firstLine="600" w:firstLineChars="200"/>
        <w:rPr>
          <w:rFonts w:hint="eastAsia"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一.投标函</w:t>
      </w:r>
    </w:p>
    <w:p w14:paraId="131C9269">
      <w:pPr>
        <w:ind w:firstLine="600" w:firstLineChars="200"/>
        <w:rPr>
          <w:rFonts w:hint="eastAsia"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二.投标报价一览表</w:t>
      </w:r>
    </w:p>
    <w:p w14:paraId="6D425EE2">
      <w:pPr>
        <w:ind w:firstLine="600" w:firstLineChars="200"/>
        <w:rPr>
          <w:rFonts w:hint="eastAsia"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三.分项报价表</w:t>
      </w:r>
    </w:p>
    <w:p w14:paraId="0D7961C2">
      <w:pPr>
        <w:ind w:firstLine="600" w:firstLineChars="200"/>
        <w:rPr>
          <w:rFonts w:hint="eastAsia"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四.偏离表</w:t>
      </w:r>
    </w:p>
    <w:p w14:paraId="78E5CE20">
      <w:pPr>
        <w:ind w:firstLine="600" w:firstLineChars="200"/>
        <w:rPr>
          <w:rFonts w:hint="eastAsia"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五.法定代表人身份证明及授权委托书</w:t>
      </w:r>
    </w:p>
    <w:p w14:paraId="6DD3210C">
      <w:pPr>
        <w:ind w:firstLine="600" w:firstLineChars="200"/>
        <w:rPr>
          <w:rFonts w:hint="eastAsia"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六.服务承诺书</w:t>
      </w:r>
    </w:p>
    <w:p w14:paraId="48709FBC">
      <w:pPr>
        <w:ind w:firstLine="600" w:firstLineChars="200"/>
        <w:rPr>
          <w:rFonts w:hint="eastAsia"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七.投标承诺书</w:t>
      </w:r>
    </w:p>
    <w:p w14:paraId="11B21F2E">
      <w:pPr>
        <w:ind w:firstLine="600" w:firstLineChars="200"/>
        <w:rPr>
          <w:rFonts w:hint="eastAsia"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八.资格审查资料</w:t>
      </w:r>
    </w:p>
    <w:p w14:paraId="44FD4D07">
      <w:pPr>
        <w:spacing w:line="440" w:lineRule="exact"/>
        <w:ind w:firstLine="600" w:firstLineChars="200"/>
        <w:rPr>
          <w:rFonts w:hint="eastAsia"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九.</w:t>
      </w:r>
      <w:r>
        <w:rPr>
          <w:rFonts w:hint="eastAsia" w:ascii="宋体" w:hAnsi="宋体"/>
          <w:color w:val="000000" w:themeColor="text1"/>
          <w:sz w:val="30"/>
          <w:szCs w:val="30"/>
          <w:highlight w:val="none"/>
          <w:lang w:eastAsia="zh-CN"/>
          <w14:textFill>
            <w14:solidFill>
              <w14:schemeClr w14:val="tx1"/>
            </w14:solidFill>
          </w14:textFill>
        </w:rPr>
        <w:t>供应商</w:t>
      </w:r>
      <w:r>
        <w:rPr>
          <w:rFonts w:hint="eastAsia" w:ascii="宋体" w:hAnsi="宋体"/>
          <w:color w:val="000000" w:themeColor="text1"/>
          <w:sz w:val="30"/>
          <w:szCs w:val="30"/>
          <w:highlight w:val="none"/>
          <w14:textFill>
            <w14:solidFill>
              <w14:schemeClr w14:val="tx1"/>
            </w14:solidFill>
          </w14:textFill>
        </w:rPr>
        <w:t>认为有必要的其它资料</w:t>
      </w:r>
    </w:p>
    <w:p w14:paraId="0E298258">
      <w:pPr>
        <w:ind w:firstLine="600" w:firstLineChars="200"/>
        <w:rPr>
          <w:rFonts w:hint="eastAsia" w:ascii="宋体" w:hAnsi="宋体"/>
          <w:color w:val="000000" w:themeColor="text1"/>
          <w:sz w:val="30"/>
          <w:szCs w:val="30"/>
          <w:highlight w:val="none"/>
          <w14:textFill>
            <w14:solidFill>
              <w14:schemeClr w14:val="tx1"/>
            </w14:solidFill>
          </w14:textFill>
        </w:rPr>
      </w:pPr>
    </w:p>
    <w:p w14:paraId="0BC121BA">
      <w:pPr>
        <w:spacing w:line="440" w:lineRule="exact"/>
        <w:rPr>
          <w:rFonts w:hint="eastAsia" w:ascii="宋体" w:hAnsi="宋体"/>
          <w:color w:val="000000" w:themeColor="text1"/>
          <w:sz w:val="30"/>
          <w:szCs w:val="30"/>
          <w:highlight w:val="none"/>
          <w14:textFill>
            <w14:solidFill>
              <w14:schemeClr w14:val="tx1"/>
            </w14:solidFill>
          </w14:textFill>
        </w:rPr>
      </w:pPr>
    </w:p>
    <w:p w14:paraId="02A5A39E">
      <w:pPr>
        <w:jc w:val="center"/>
        <w:rPr>
          <w:rFonts w:hint="eastAsia" w:ascii="宋体" w:hAnsi="宋体"/>
          <w:b/>
          <w:bCs/>
          <w:color w:val="000000" w:themeColor="text1"/>
          <w:sz w:val="32"/>
          <w:szCs w:val="32"/>
          <w:highlight w:val="none"/>
          <w14:textFill>
            <w14:solidFill>
              <w14:schemeClr w14:val="tx1"/>
            </w14:solidFill>
          </w14:textFill>
        </w:rPr>
      </w:pPr>
    </w:p>
    <w:p w14:paraId="3D560475">
      <w:pPr>
        <w:jc w:val="center"/>
        <w:rPr>
          <w:rFonts w:hint="eastAsia" w:ascii="宋体" w:hAnsi="宋体"/>
          <w:b/>
          <w:bCs/>
          <w:color w:val="000000" w:themeColor="text1"/>
          <w:sz w:val="32"/>
          <w:szCs w:val="32"/>
          <w:highlight w:val="none"/>
          <w14:textFill>
            <w14:solidFill>
              <w14:schemeClr w14:val="tx1"/>
            </w14:solidFill>
          </w14:textFill>
        </w:rPr>
      </w:pPr>
    </w:p>
    <w:p w14:paraId="4D11D97F">
      <w:pPr>
        <w:jc w:val="center"/>
        <w:rPr>
          <w:rFonts w:hint="eastAsia" w:ascii="宋体" w:hAnsi="宋体"/>
          <w:b/>
          <w:bCs/>
          <w:color w:val="000000" w:themeColor="text1"/>
          <w:sz w:val="32"/>
          <w:szCs w:val="32"/>
          <w:highlight w:val="none"/>
          <w14:textFill>
            <w14:solidFill>
              <w14:schemeClr w14:val="tx1"/>
            </w14:solidFill>
          </w14:textFill>
        </w:rPr>
      </w:pPr>
    </w:p>
    <w:p w14:paraId="2E7D1F49">
      <w:pPr>
        <w:jc w:val="center"/>
        <w:rPr>
          <w:rFonts w:hint="eastAsia" w:ascii="宋体" w:hAnsi="宋体"/>
          <w:b/>
          <w:bCs/>
          <w:color w:val="000000" w:themeColor="text1"/>
          <w:sz w:val="32"/>
          <w:szCs w:val="32"/>
          <w:highlight w:val="none"/>
          <w14:textFill>
            <w14:solidFill>
              <w14:schemeClr w14:val="tx1"/>
            </w14:solidFill>
          </w14:textFill>
        </w:rPr>
      </w:pPr>
    </w:p>
    <w:p w14:paraId="3DC1D565">
      <w:pPr>
        <w:jc w:val="center"/>
        <w:rPr>
          <w:rFonts w:hint="eastAsia" w:ascii="宋体" w:hAnsi="宋体"/>
          <w:b/>
          <w:bCs/>
          <w:color w:val="000000" w:themeColor="text1"/>
          <w:sz w:val="32"/>
          <w:szCs w:val="32"/>
          <w:highlight w:val="none"/>
          <w14:textFill>
            <w14:solidFill>
              <w14:schemeClr w14:val="tx1"/>
            </w14:solidFill>
          </w14:textFill>
        </w:rPr>
      </w:pPr>
    </w:p>
    <w:p w14:paraId="727F9592">
      <w:pPr>
        <w:jc w:val="center"/>
        <w:rPr>
          <w:rFonts w:hint="eastAsia" w:ascii="宋体" w:hAnsi="宋体"/>
          <w:b/>
          <w:bCs/>
          <w:color w:val="000000" w:themeColor="text1"/>
          <w:sz w:val="32"/>
          <w:szCs w:val="32"/>
          <w:highlight w:val="none"/>
          <w14:textFill>
            <w14:solidFill>
              <w14:schemeClr w14:val="tx1"/>
            </w14:solidFill>
          </w14:textFill>
        </w:rPr>
      </w:pPr>
    </w:p>
    <w:p w14:paraId="37C52B56">
      <w:pPr>
        <w:jc w:val="center"/>
        <w:rPr>
          <w:rFonts w:hint="eastAsia" w:ascii="宋体" w:hAnsi="宋体"/>
          <w:b/>
          <w:bCs/>
          <w:color w:val="000000" w:themeColor="text1"/>
          <w:sz w:val="32"/>
          <w:szCs w:val="32"/>
          <w:highlight w:val="none"/>
          <w14:textFill>
            <w14:solidFill>
              <w14:schemeClr w14:val="tx1"/>
            </w14:solidFill>
          </w14:textFill>
        </w:rPr>
      </w:pPr>
    </w:p>
    <w:p w14:paraId="01DB89FA">
      <w:pPr>
        <w:jc w:val="center"/>
        <w:rPr>
          <w:rFonts w:hint="eastAsia" w:ascii="宋体" w:hAnsi="宋体"/>
          <w:b/>
          <w:bCs/>
          <w:color w:val="000000" w:themeColor="text1"/>
          <w:sz w:val="32"/>
          <w:szCs w:val="32"/>
          <w:highlight w:val="none"/>
          <w14:textFill>
            <w14:solidFill>
              <w14:schemeClr w14:val="tx1"/>
            </w14:solidFill>
          </w14:textFill>
        </w:rPr>
      </w:pPr>
    </w:p>
    <w:p w14:paraId="760C88CA">
      <w:pPr>
        <w:jc w:val="center"/>
        <w:rPr>
          <w:rFonts w:hint="eastAsia" w:ascii="宋体" w:hAnsi="宋体"/>
          <w:b/>
          <w:bCs/>
          <w:color w:val="000000" w:themeColor="text1"/>
          <w:sz w:val="32"/>
          <w:szCs w:val="32"/>
          <w:highlight w:val="none"/>
          <w14:textFill>
            <w14:solidFill>
              <w14:schemeClr w14:val="tx1"/>
            </w14:solidFill>
          </w14:textFill>
        </w:rPr>
      </w:pPr>
    </w:p>
    <w:p w14:paraId="296DA436">
      <w:pPr>
        <w:rPr>
          <w:rFonts w:hint="eastAsia" w:ascii="宋体" w:hAnsi="宋体"/>
          <w:b/>
          <w:bCs/>
          <w:color w:val="000000" w:themeColor="text1"/>
          <w:sz w:val="32"/>
          <w:szCs w:val="32"/>
          <w:highlight w:val="none"/>
          <w14:textFill>
            <w14:solidFill>
              <w14:schemeClr w14:val="tx1"/>
            </w14:solidFill>
          </w14:textFill>
        </w:rPr>
      </w:pPr>
    </w:p>
    <w:p w14:paraId="39CDB86A">
      <w:pPr>
        <w:snapToGrid w:val="0"/>
        <w:jc w:val="center"/>
        <w:outlineLvl w:val="1"/>
        <w:rPr>
          <w:rFonts w:hint="eastAsia" w:ascii="宋体" w:hAnsi="宋体"/>
          <w:b/>
          <w:bCs/>
          <w:color w:val="000000" w:themeColor="text1"/>
          <w:sz w:val="32"/>
          <w:szCs w:val="32"/>
          <w:highlight w:val="none"/>
          <w14:textFill>
            <w14:solidFill>
              <w14:schemeClr w14:val="tx1"/>
            </w14:solidFill>
          </w14:textFill>
        </w:rPr>
      </w:pPr>
      <w:bookmarkStart w:id="128" w:name="_Toc1281"/>
      <w:bookmarkEnd w:id="128"/>
      <w:bookmarkStart w:id="129" w:name="_Toc5955"/>
      <w:bookmarkStart w:id="130" w:name="_Toc17855"/>
      <w:r>
        <w:rPr>
          <w:rFonts w:hint="eastAsia" w:ascii="宋体" w:hAnsi="宋体"/>
          <w:b/>
          <w:bCs/>
          <w:color w:val="000000" w:themeColor="text1"/>
          <w:sz w:val="32"/>
          <w:szCs w:val="32"/>
          <w:highlight w:val="none"/>
          <w14:textFill>
            <w14:solidFill>
              <w14:schemeClr w14:val="tx1"/>
            </w14:solidFill>
          </w14:textFill>
        </w:rPr>
        <w:t>一．投标函</w:t>
      </w:r>
      <w:bookmarkEnd w:id="129"/>
      <w:bookmarkEnd w:id="130"/>
    </w:p>
    <w:p w14:paraId="10975F91">
      <w:pPr>
        <w:spacing w:line="420" w:lineRule="exact"/>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致：</w:t>
      </w:r>
      <w:r>
        <w:rPr>
          <w:rFonts w:hint="eastAsia" w:ascii="宋体" w:hAnsi="宋体"/>
          <w:b/>
          <w:bCs/>
          <w:color w:val="000000" w:themeColor="text1"/>
          <w:sz w:val="24"/>
          <w:szCs w:val="24"/>
          <w:highlight w:val="none"/>
          <w:lang w:eastAsia="zh-CN"/>
          <w14:textFill>
            <w14:solidFill>
              <w14:schemeClr w14:val="tx1"/>
            </w14:solidFill>
          </w14:textFill>
        </w:rPr>
        <w:t>平顶山市工业学校</w:t>
      </w:r>
      <w:r>
        <w:rPr>
          <w:rFonts w:hint="eastAsia" w:ascii="宋体" w:hAnsi="宋体"/>
          <w:b/>
          <w:bCs/>
          <w:color w:val="000000" w:themeColor="text1"/>
          <w:sz w:val="24"/>
          <w:szCs w:val="24"/>
          <w:highlight w:val="none"/>
          <w14:textFill>
            <w14:solidFill>
              <w14:schemeClr w14:val="tx1"/>
            </w14:solidFill>
          </w14:textFill>
        </w:rPr>
        <w:t>：</w:t>
      </w:r>
    </w:p>
    <w:p w14:paraId="55C30595">
      <w:pPr>
        <w:pStyle w:val="102"/>
        <w:snapToGrid w:val="0"/>
        <w:spacing w:line="40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我方已仔细研究</w:t>
      </w:r>
      <w:r>
        <w:rPr>
          <w:rFonts w:hint="eastAsia" w:ascii="宋体" w:hAnsi="宋体"/>
          <w:color w:val="000000" w:themeColor="text1"/>
          <w:sz w:val="24"/>
          <w:szCs w:val="24"/>
          <w:highlight w:val="none"/>
          <w:u w:val="single"/>
          <w14:textFill>
            <w14:solidFill>
              <w14:schemeClr w14:val="tx1"/>
            </w14:solidFill>
          </w14:textFill>
        </w:rPr>
        <w:t xml:space="preserve">  （项目名称）  </w:t>
      </w:r>
      <w:r>
        <w:rPr>
          <w:rFonts w:hint="eastAsia" w:ascii="宋体" w:hAnsi="宋体"/>
          <w:color w:val="000000" w:themeColor="text1"/>
          <w:sz w:val="24"/>
          <w:szCs w:val="24"/>
          <w:highlight w:val="none"/>
          <w14:textFill>
            <w14:solidFill>
              <w14:schemeClr w14:val="tx1"/>
            </w14:solidFill>
          </w14:textFill>
        </w:rPr>
        <w:t>招标文件的全部内容。综合项目实际情况并研究该项目招标文件的内容后，针对该项目，我方愿意以大写</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，小写</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元的投标报价，按招标文件要求供货并安装。签字代表</w:t>
      </w:r>
      <w:r>
        <w:rPr>
          <w:rFonts w:hint="eastAsia" w:ascii="宋体" w:hAnsi="宋体"/>
          <w:color w:val="000000" w:themeColor="text1"/>
          <w:sz w:val="24"/>
          <w:szCs w:val="24"/>
          <w:highlight w:val="none"/>
          <w:u w:val="single"/>
          <w14:textFill>
            <w14:solidFill>
              <w14:schemeClr w14:val="tx1"/>
            </w14:solidFill>
          </w14:textFill>
        </w:rPr>
        <w:t xml:space="preserve"> （姓名）</w:t>
      </w:r>
      <w:r>
        <w:rPr>
          <w:rFonts w:hint="eastAsia" w:ascii="宋体" w:hAnsi="宋体"/>
          <w:color w:val="000000" w:themeColor="text1"/>
          <w:sz w:val="24"/>
          <w:szCs w:val="24"/>
          <w:highlight w:val="none"/>
          <w14:textFill>
            <w14:solidFill>
              <w14:schemeClr w14:val="tx1"/>
            </w14:solidFill>
          </w14:textFill>
        </w:rPr>
        <w:t>经正式授权并代表</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u w:val="single"/>
          <w:lang w:eastAsia="zh-CN"/>
          <w14:textFill>
            <w14:solidFill>
              <w14:schemeClr w14:val="tx1"/>
            </w14:solidFill>
          </w14:textFill>
        </w:rPr>
        <w:t>供应商</w:t>
      </w:r>
      <w:r>
        <w:rPr>
          <w:rFonts w:hint="eastAsia" w:ascii="宋体" w:hAnsi="宋体"/>
          <w:color w:val="000000" w:themeColor="text1"/>
          <w:sz w:val="24"/>
          <w:szCs w:val="24"/>
          <w:highlight w:val="none"/>
          <w:u w:val="single"/>
          <w14:textFill>
            <w14:solidFill>
              <w14:schemeClr w14:val="tx1"/>
            </w14:solidFill>
          </w14:textFill>
        </w:rPr>
        <w:t xml:space="preserve">名称） </w:t>
      </w:r>
      <w:r>
        <w:rPr>
          <w:rFonts w:hint="eastAsia" w:ascii="宋体" w:hAnsi="宋体"/>
          <w:color w:val="000000" w:themeColor="text1"/>
          <w:sz w:val="24"/>
          <w:szCs w:val="24"/>
          <w:highlight w:val="none"/>
          <w14:textFill>
            <w14:solidFill>
              <w14:schemeClr w14:val="tx1"/>
            </w14:solidFill>
          </w14:textFill>
        </w:rPr>
        <w:t>提交招标文件要求的全套投标文件，包括：</w:t>
      </w:r>
    </w:p>
    <w:p w14:paraId="4F29F72E">
      <w:pPr>
        <w:spacing w:line="42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招标文件 “投标文件及格式”中要求的投标文件；</w:t>
      </w:r>
    </w:p>
    <w:p w14:paraId="56B8D7CB">
      <w:pPr>
        <w:spacing w:line="42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 其他资料。</w:t>
      </w:r>
    </w:p>
    <w:p w14:paraId="1DF9ED46">
      <w:pPr>
        <w:pStyle w:val="106"/>
        <w:spacing w:line="420" w:lineRule="exact"/>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据此函，签字人宣布同意如下：</w:t>
      </w:r>
    </w:p>
    <w:p w14:paraId="5E377686">
      <w:pPr>
        <w:spacing w:line="42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 我方将按招标文件的规定履行合同责任和义务。</w:t>
      </w:r>
    </w:p>
    <w:p w14:paraId="2D90B237">
      <w:pPr>
        <w:spacing w:line="42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 我方已详细审查全部招标文件，包括修改文件（如有）及全部参考资料和附件。我们完全理解并同意放弃对这方面有不明及误解的权力。</w:t>
      </w:r>
    </w:p>
    <w:p w14:paraId="544B2ABC">
      <w:pPr>
        <w:spacing w:line="42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 我方同意所提交的投标文件在招标文件的供应商须知规定的投标有效期内有效并在此期间接受约束。</w:t>
      </w:r>
    </w:p>
    <w:p w14:paraId="5F244DC3">
      <w:pPr>
        <w:spacing w:line="42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 我方同意提供按照贵方可能要求的与其投标有关的一切数据或资料，完全理解贵方不一定接受最低投标报价的投标或收到的任何投标。</w:t>
      </w:r>
    </w:p>
    <w:p w14:paraId="337DE3FF">
      <w:pPr>
        <w:spacing w:line="42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 一旦我方中标，我们将根据招标文件的规定，严格按照《中华人民共和国</w:t>
      </w:r>
      <w:r>
        <w:rPr>
          <w:rFonts w:hint="eastAsia" w:ascii="宋体" w:hAnsi="宋体"/>
          <w:color w:val="000000" w:themeColor="text1"/>
          <w:sz w:val="24"/>
          <w:highlight w:val="none"/>
          <w:lang w:eastAsia="zh-CN"/>
          <w14:textFill>
            <w14:solidFill>
              <w14:schemeClr w14:val="tx1"/>
            </w14:solidFill>
          </w14:textFill>
        </w:rPr>
        <w:t>民法典</w:t>
      </w:r>
      <w:r>
        <w:rPr>
          <w:rFonts w:hint="eastAsia" w:ascii="宋体" w:hAnsi="宋体"/>
          <w:color w:val="000000" w:themeColor="text1"/>
          <w:sz w:val="24"/>
          <w:highlight w:val="none"/>
          <w14:textFill>
            <w14:solidFill>
              <w14:schemeClr w14:val="tx1"/>
            </w14:solidFill>
          </w14:textFill>
        </w:rPr>
        <w:t>》履行自己的责任和义务,并保证于投标报价表中规定的时间交货，交付使用、验收。</w:t>
      </w:r>
    </w:p>
    <w:p w14:paraId="2096E323">
      <w:pPr>
        <w:spacing w:line="42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 我方若获得中标，保证按有关规定向代理公司支付中标服务费。</w:t>
      </w:r>
    </w:p>
    <w:p w14:paraId="42C2003E">
      <w:pPr>
        <w:spacing w:line="42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 其他补充说明：</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14:paraId="046CB24C">
      <w:pPr>
        <w:tabs>
          <w:tab w:val="left" w:pos="6633"/>
        </w:tabs>
        <w:snapToGrid w:val="0"/>
        <w:spacing w:line="400" w:lineRule="exact"/>
        <w:jc w:val="left"/>
        <w:rPr>
          <w:rFonts w:hint="eastAsia" w:ascii="宋体" w:hAnsi="宋体"/>
          <w:color w:val="000000" w:themeColor="text1"/>
          <w:sz w:val="24"/>
          <w:szCs w:val="24"/>
          <w:highlight w:val="none"/>
          <w14:textFill>
            <w14:solidFill>
              <w14:schemeClr w14:val="tx1"/>
            </w14:solidFill>
          </w14:textFill>
        </w:rPr>
      </w:pPr>
    </w:p>
    <w:p w14:paraId="08EAC7A7">
      <w:pPr>
        <w:tabs>
          <w:tab w:val="left" w:pos="6633"/>
        </w:tabs>
        <w:snapToGrid w:val="0"/>
        <w:spacing w:line="400" w:lineRule="exact"/>
        <w:jc w:val="left"/>
        <w:rPr>
          <w:rFonts w:hint="eastAsia" w:ascii="宋体" w:hAnsi="宋体"/>
          <w:color w:val="000000" w:themeColor="text1"/>
          <w:sz w:val="24"/>
          <w:szCs w:val="24"/>
          <w:highlight w:val="none"/>
          <w14:textFill>
            <w14:solidFill>
              <w14:schemeClr w14:val="tx1"/>
            </w14:solidFill>
          </w14:textFill>
        </w:rPr>
      </w:pPr>
    </w:p>
    <w:p w14:paraId="6BD27852">
      <w:pPr>
        <w:pStyle w:val="55"/>
        <w:ind w:firstLine="0"/>
        <w:rPr>
          <w:rFonts w:hint="eastAsia" w:ascii="宋体" w:hAnsi="宋体"/>
          <w:color w:val="000000" w:themeColor="text1"/>
          <w:highlight w:val="none"/>
          <w14:textFill>
            <w14:solidFill>
              <w14:schemeClr w14:val="tx1"/>
            </w14:solidFill>
          </w14:textFill>
        </w:rPr>
      </w:pPr>
    </w:p>
    <w:p w14:paraId="29428B80">
      <w:pPr>
        <w:tabs>
          <w:tab w:val="left" w:pos="6633"/>
        </w:tabs>
        <w:snapToGrid w:val="0"/>
        <w:spacing w:line="400" w:lineRule="exact"/>
        <w:jc w:val="left"/>
        <w:rPr>
          <w:rFonts w:hint="eastAsia" w:ascii="宋体" w:hAnsi="宋体"/>
          <w:color w:val="000000" w:themeColor="text1"/>
          <w:sz w:val="24"/>
          <w:szCs w:val="24"/>
          <w:highlight w:val="none"/>
          <w14:textFill>
            <w14:solidFill>
              <w14:schemeClr w14:val="tx1"/>
            </w14:solidFill>
          </w14:textFill>
        </w:rPr>
      </w:pPr>
    </w:p>
    <w:p w14:paraId="1ED67AC3">
      <w:pPr>
        <w:tabs>
          <w:tab w:val="left" w:pos="6633"/>
        </w:tabs>
        <w:snapToGrid w:val="0"/>
        <w:spacing w:line="400" w:lineRule="exact"/>
        <w:jc w:val="left"/>
        <w:rPr>
          <w:rFonts w:hint="eastAsia" w:ascii="宋体" w:hAnsi="宋体"/>
          <w:color w:val="000000" w:themeColor="text1"/>
          <w:sz w:val="24"/>
          <w:szCs w:val="24"/>
          <w:highlight w:val="none"/>
          <w14:textFill>
            <w14:solidFill>
              <w14:schemeClr w14:val="tx1"/>
            </w14:solidFill>
          </w14:textFill>
        </w:rPr>
      </w:pPr>
    </w:p>
    <w:p w14:paraId="5E4342B4">
      <w:pPr>
        <w:tabs>
          <w:tab w:val="left" w:pos="6633"/>
        </w:tabs>
        <w:spacing w:line="440" w:lineRule="exact"/>
        <w:ind w:firstLine="2880" w:firstLineChars="1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6DDC89D6">
      <w:pPr>
        <w:tabs>
          <w:tab w:val="left" w:pos="6633"/>
        </w:tabs>
        <w:snapToGrid w:val="0"/>
        <w:spacing w:line="400" w:lineRule="exact"/>
        <w:jc w:val="left"/>
        <w:rPr>
          <w:rFonts w:hint="eastAsia" w:ascii="宋体" w:hAnsi="宋体"/>
          <w:color w:val="000000" w:themeColor="text1"/>
          <w:sz w:val="24"/>
          <w:szCs w:val="24"/>
          <w:highlight w:val="none"/>
          <w14:textFill>
            <w14:solidFill>
              <w14:schemeClr w14:val="tx1"/>
            </w14:solidFill>
          </w14:textFill>
        </w:rPr>
      </w:pPr>
    </w:p>
    <w:p w14:paraId="65B91D56">
      <w:pPr>
        <w:pStyle w:val="71"/>
        <w:ind w:firstLine="240"/>
        <w:rPr>
          <w:rFonts w:hint="eastAsia" w:ascii="宋体" w:hAnsi="宋体"/>
          <w:color w:val="000000" w:themeColor="text1"/>
          <w:sz w:val="24"/>
          <w:szCs w:val="24"/>
          <w:highlight w:val="none"/>
          <w14:textFill>
            <w14:solidFill>
              <w14:schemeClr w14:val="tx1"/>
            </w14:solidFill>
          </w14:textFill>
        </w:rPr>
      </w:pPr>
    </w:p>
    <w:p w14:paraId="28EBF26F">
      <w:pPr>
        <w:pStyle w:val="71"/>
        <w:ind w:firstLine="210"/>
        <w:rPr>
          <w:rFonts w:hint="eastAsia" w:ascii="宋体" w:hAnsi="宋体"/>
          <w:color w:val="000000" w:themeColor="text1"/>
          <w:highlight w:val="none"/>
          <w14:textFill>
            <w14:solidFill>
              <w14:schemeClr w14:val="tx1"/>
            </w14:solidFill>
          </w14:textFill>
        </w:rPr>
      </w:pPr>
    </w:p>
    <w:p w14:paraId="4E4C411E">
      <w:pPr>
        <w:pStyle w:val="71"/>
        <w:ind w:firstLine="210"/>
        <w:rPr>
          <w:rFonts w:hint="eastAsia" w:ascii="宋体" w:hAnsi="宋体"/>
          <w:color w:val="000000" w:themeColor="text1"/>
          <w:highlight w:val="none"/>
          <w14:textFill>
            <w14:solidFill>
              <w14:schemeClr w14:val="tx1"/>
            </w14:solidFill>
          </w14:textFill>
        </w:rPr>
      </w:pPr>
    </w:p>
    <w:p w14:paraId="583957C7">
      <w:pPr>
        <w:rPr>
          <w:color w:val="000000" w:themeColor="text1"/>
          <w:highlight w:val="none"/>
          <w14:textFill>
            <w14:solidFill>
              <w14:schemeClr w14:val="tx1"/>
            </w14:solidFill>
          </w14:textFill>
        </w:rPr>
      </w:pPr>
    </w:p>
    <w:p w14:paraId="58941173">
      <w:pPr>
        <w:jc w:val="center"/>
        <w:outlineLvl w:val="1"/>
        <w:rPr>
          <w:rFonts w:hint="eastAsia" w:ascii="宋体" w:hAnsi="宋体"/>
          <w:b/>
          <w:bCs/>
          <w:color w:val="000000" w:themeColor="text1"/>
          <w:sz w:val="32"/>
          <w:szCs w:val="32"/>
          <w:highlight w:val="none"/>
          <w14:textFill>
            <w14:solidFill>
              <w14:schemeClr w14:val="tx1"/>
            </w14:solidFill>
          </w14:textFill>
        </w:rPr>
      </w:pPr>
      <w:bookmarkStart w:id="131" w:name="_Toc6618"/>
      <w:bookmarkEnd w:id="131"/>
      <w:bookmarkStart w:id="132" w:name="_Toc3053"/>
      <w:bookmarkStart w:id="133" w:name="_Toc28865"/>
      <w:r>
        <w:rPr>
          <w:rFonts w:hint="eastAsia" w:ascii="宋体" w:hAnsi="宋体"/>
          <w:b/>
          <w:bCs/>
          <w:color w:val="000000" w:themeColor="text1"/>
          <w:sz w:val="32"/>
          <w:szCs w:val="32"/>
          <w:highlight w:val="none"/>
          <w14:textFill>
            <w14:solidFill>
              <w14:schemeClr w14:val="tx1"/>
            </w14:solidFill>
          </w14:textFill>
        </w:rPr>
        <w:t>二．投标报价一览表</w:t>
      </w:r>
      <w:bookmarkEnd w:id="132"/>
      <w:bookmarkEnd w:id="133"/>
    </w:p>
    <w:tbl>
      <w:tblPr>
        <w:tblStyle w:val="22"/>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2479"/>
        <w:gridCol w:w="6301"/>
      </w:tblGrid>
      <w:tr w14:paraId="26E589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53" w:hRule="atLeast"/>
          <w:jc w:val="center"/>
        </w:trPr>
        <w:tc>
          <w:tcPr>
            <w:tcW w:w="2479" w:type="dxa"/>
            <w:vAlign w:val="center"/>
          </w:tcPr>
          <w:p w14:paraId="15EF3C63">
            <w:pPr>
              <w:spacing w:line="400" w:lineRule="exact"/>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投标单位名称</w:t>
            </w:r>
          </w:p>
        </w:tc>
        <w:tc>
          <w:tcPr>
            <w:tcW w:w="6301" w:type="dxa"/>
            <w:vAlign w:val="center"/>
          </w:tcPr>
          <w:p w14:paraId="0201905A">
            <w:pPr>
              <w:spacing w:line="400" w:lineRule="exact"/>
              <w:jc w:val="center"/>
              <w:rPr>
                <w:rFonts w:hint="eastAsia" w:ascii="宋体" w:hAnsi="宋体"/>
                <w:color w:val="000000" w:themeColor="text1"/>
                <w:highlight w:val="none"/>
                <w14:textFill>
                  <w14:solidFill>
                    <w14:schemeClr w14:val="tx1"/>
                  </w14:solidFill>
                </w14:textFill>
              </w:rPr>
            </w:pPr>
          </w:p>
        </w:tc>
      </w:tr>
      <w:tr w14:paraId="554F95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1" w:hRule="atLeast"/>
          <w:jc w:val="center"/>
        </w:trPr>
        <w:tc>
          <w:tcPr>
            <w:tcW w:w="2479" w:type="dxa"/>
            <w:vAlign w:val="center"/>
          </w:tcPr>
          <w:p w14:paraId="33FF945E">
            <w:pPr>
              <w:spacing w:line="400" w:lineRule="exact"/>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项目名称</w:t>
            </w:r>
          </w:p>
        </w:tc>
        <w:tc>
          <w:tcPr>
            <w:tcW w:w="6301" w:type="dxa"/>
            <w:vAlign w:val="center"/>
          </w:tcPr>
          <w:p w14:paraId="3C5D6201">
            <w:pPr>
              <w:spacing w:line="400" w:lineRule="exact"/>
              <w:jc w:val="center"/>
              <w:rPr>
                <w:rFonts w:hint="eastAsia" w:ascii="宋体" w:hAnsi="宋体"/>
                <w:color w:val="000000" w:themeColor="text1"/>
                <w:highlight w:val="none"/>
                <w14:textFill>
                  <w14:solidFill>
                    <w14:schemeClr w14:val="tx1"/>
                  </w14:solidFill>
                </w14:textFill>
              </w:rPr>
            </w:pPr>
          </w:p>
        </w:tc>
      </w:tr>
      <w:tr w14:paraId="26C7AE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39" w:hRule="atLeast"/>
          <w:jc w:val="center"/>
        </w:trPr>
        <w:tc>
          <w:tcPr>
            <w:tcW w:w="2479" w:type="dxa"/>
            <w:vAlign w:val="center"/>
          </w:tcPr>
          <w:p w14:paraId="7D0C61C4">
            <w:pPr>
              <w:spacing w:line="400" w:lineRule="exact"/>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投标报价</w:t>
            </w:r>
          </w:p>
        </w:tc>
        <w:tc>
          <w:tcPr>
            <w:tcW w:w="6301" w:type="dxa"/>
            <w:vAlign w:val="center"/>
          </w:tcPr>
          <w:p w14:paraId="3756AD1C">
            <w:pPr>
              <w:spacing w:line="400" w:lineRule="exact"/>
              <w:ind w:firstLine="1995" w:firstLineChars="95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大写</w:t>
            </w:r>
            <w:r>
              <w:rPr>
                <w:rFonts w:hint="eastAsia" w:ascii="宋体" w:hAnsi="宋体"/>
                <w:color w:val="000000" w:themeColor="text1"/>
                <w:highlight w:val="none"/>
                <w:u w:val="single"/>
                <w14:textFill>
                  <w14:solidFill>
                    <w14:schemeClr w14:val="tx1"/>
                  </w14:solidFill>
                </w14:textFill>
              </w:rPr>
              <w:t xml:space="preserve">              </w:t>
            </w:r>
          </w:p>
          <w:p w14:paraId="13E8CE68">
            <w:pPr>
              <w:spacing w:line="400" w:lineRule="exact"/>
              <w:ind w:firstLine="1995" w:firstLineChars="95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小写</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元</w:t>
            </w:r>
          </w:p>
        </w:tc>
      </w:tr>
      <w:tr w14:paraId="06E8D6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43" w:hRule="atLeast"/>
          <w:jc w:val="center"/>
        </w:trPr>
        <w:tc>
          <w:tcPr>
            <w:tcW w:w="2479" w:type="dxa"/>
            <w:vAlign w:val="center"/>
          </w:tcPr>
          <w:p w14:paraId="52B85937">
            <w:pPr>
              <w:spacing w:line="400" w:lineRule="exact"/>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交货及安装周期</w:t>
            </w:r>
          </w:p>
        </w:tc>
        <w:tc>
          <w:tcPr>
            <w:tcW w:w="6301" w:type="dxa"/>
            <w:vAlign w:val="center"/>
          </w:tcPr>
          <w:p w14:paraId="682567A7">
            <w:pPr>
              <w:spacing w:line="400" w:lineRule="exact"/>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合同签订之日起</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日历天内安装调试完毕、交付使用</w:t>
            </w:r>
          </w:p>
        </w:tc>
      </w:tr>
      <w:tr w14:paraId="403AF9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1" w:hRule="atLeast"/>
          <w:jc w:val="center"/>
        </w:trPr>
        <w:tc>
          <w:tcPr>
            <w:tcW w:w="2479" w:type="dxa"/>
            <w:vAlign w:val="center"/>
          </w:tcPr>
          <w:p w14:paraId="29666B48">
            <w:pPr>
              <w:pStyle w:val="71"/>
              <w:spacing w:after="0" w:line="400" w:lineRule="exact"/>
              <w:ind w:firstLine="0" w:firstLineChars="0"/>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质量要求</w:t>
            </w:r>
          </w:p>
        </w:tc>
        <w:tc>
          <w:tcPr>
            <w:tcW w:w="6301" w:type="dxa"/>
            <w:vAlign w:val="center"/>
          </w:tcPr>
          <w:p w14:paraId="2251DF48">
            <w:pPr>
              <w:spacing w:line="400" w:lineRule="exact"/>
              <w:jc w:val="center"/>
              <w:rPr>
                <w:rFonts w:hint="eastAsia" w:ascii="宋体" w:hAnsi="宋体"/>
                <w:color w:val="000000" w:themeColor="text1"/>
                <w:highlight w:val="none"/>
                <w14:textFill>
                  <w14:solidFill>
                    <w14:schemeClr w14:val="tx1"/>
                  </w14:solidFill>
                </w14:textFill>
              </w:rPr>
            </w:pPr>
          </w:p>
        </w:tc>
      </w:tr>
      <w:tr w14:paraId="2522D0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1" w:hRule="atLeast"/>
          <w:jc w:val="center"/>
        </w:trPr>
        <w:tc>
          <w:tcPr>
            <w:tcW w:w="2479" w:type="dxa"/>
            <w:vAlign w:val="center"/>
          </w:tcPr>
          <w:p w14:paraId="095F3071">
            <w:pPr>
              <w:pStyle w:val="71"/>
              <w:spacing w:after="0" w:line="400" w:lineRule="exact"/>
              <w:ind w:firstLine="0" w:firstLineChars="0"/>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质保期</w:t>
            </w:r>
          </w:p>
        </w:tc>
        <w:tc>
          <w:tcPr>
            <w:tcW w:w="6301" w:type="dxa"/>
            <w:vAlign w:val="center"/>
          </w:tcPr>
          <w:p w14:paraId="4E0C26E0">
            <w:pPr>
              <w:spacing w:line="400" w:lineRule="exact"/>
              <w:jc w:val="center"/>
              <w:rPr>
                <w:rFonts w:hint="eastAsia" w:ascii="宋体" w:hAnsi="宋体"/>
                <w:color w:val="000000" w:themeColor="text1"/>
                <w:highlight w:val="none"/>
                <w14:textFill>
                  <w14:solidFill>
                    <w14:schemeClr w14:val="tx1"/>
                  </w14:solidFill>
                </w14:textFill>
              </w:rPr>
            </w:pPr>
          </w:p>
        </w:tc>
      </w:tr>
      <w:tr w14:paraId="48E892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1" w:hRule="atLeast"/>
          <w:jc w:val="center"/>
        </w:trPr>
        <w:tc>
          <w:tcPr>
            <w:tcW w:w="2479" w:type="dxa"/>
            <w:vAlign w:val="center"/>
          </w:tcPr>
          <w:p w14:paraId="3851E47A">
            <w:pPr>
              <w:spacing w:line="400" w:lineRule="exact"/>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投标有效期</w:t>
            </w:r>
          </w:p>
        </w:tc>
        <w:tc>
          <w:tcPr>
            <w:tcW w:w="6301" w:type="dxa"/>
            <w:vAlign w:val="center"/>
          </w:tcPr>
          <w:p w14:paraId="0D5A2675">
            <w:pPr>
              <w:spacing w:line="400" w:lineRule="exact"/>
              <w:jc w:val="center"/>
              <w:rPr>
                <w:rFonts w:hint="eastAsia" w:ascii="宋体" w:hAnsi="宋体"/>
                <w:color w:val="000000" w:themeColor="text1"/>
                <w:highlight w:val="none"/>
                <w14:textFill>
                  <w14:solidFill>
                    <w14:schemeClr w14:val="tx1"/>
                  </w14:solidFill>
                </w14:textFill>
              </w:rPr>
            </w:pPr>
          </w:p>
        </w:tc>
      </w:tr>
      <w:tr w14:paraId="11BD53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94" w:hRule="atLeast"/>
          <w:jc w:val="center"/>
        </w:trPr>
        <w:tc>
          <w:tcPr>
            <w:tcW w:w="2479" w:type="dxa"/>
            <w:vAlign w:val="center"/>
          </w:tcPr>
          <w:p w14:paraId="10EDBF04">
            <w:pPr>
              <w:spacing w:line="400" w:lineRule="exact"/>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其它说明</w:t>
            </w:r>
          </w:p>
        </w:tc>
        <w:tc>
          <w:tcPr>
            <w:tcW w:w="6301" w:type="dxa"/>
            <w:vAlign w:val="center"/>
          </w:tcPr>
          <w:p w14:paraId="744A1614">
            <w:pPr>
              <w:spacing w:line="400" w:lineRule="exact"/>
              <w:jc w:val="center"/>
              <w:rPr>
                <w:rFonts w:hint="eastAsia" w:ascii="宋体" w:hAnsi="宋体"/>
                <w:color w:val="000000" w:themeColor="text1"/>
                <w:highlight w:val="none"/>
                <w14:textFill>
                  <w14:solidFill>
                    <w14:schemeClr w14:val="tx1"/>
                  </w14:solidFill>
                </w14:textFill>
              </w:rPr>
            </w:pPr>
          </w:p>
        </w:tc>
      </w:tr>
    </w:tbl>
    <w:p w14:paraId="073BE661">
      <w:pPr>
        <w:rPr>
          <w:rFonts w:hint="eastAsia" w:ascii="宋体" w:hAnsi="宋体"/>
          <w:color w:val="000000" w:themeColor="text1"/>
          <w:sz w:val="24"/>
          <w:szCs w:val="24"/>
          <w:highlight w:val="none"/>
          <w14:textFill>
            <w14:solidFill>
              <w14:schemeClr w14:val="tx1"/>
            </w14:solidFill>
          </w14:textFill>
        </w:rPr>
      </w:pPr>
    </w:p>
    <w:p w14:paraId="4BDE2877">
      <w:pPr>
        <w:spacing w:line="480" w:lineRule="auto"/>
        <w:ind w:right="277" w:rightChars="132" w:firstLine="2880" w:firstLineChars="1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（电子印章）</w:t>
      </w:r>
    </w:p>
    <w:p w14:paraId="4DF9E765">
      <w:pPr>
        <w:spacing w:line="480" w:lineRule="auto"/>
        <w:ind w:right="277" w:rightChars="132" w:firstLine="2880" w:firstLineChars="1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（电子签章）</w:t>
      </w:r>
    </w:p>
    <w:p w14:paraId="7339711A">
      <w:pPr>
        <w:spacing w:line="600" w:lineRule="exact"/>
        <w:ind w:firstLine="2880" w:firstLineChars="1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7E95EB9C">
      <w:pPr>
        <w:rPr>
          <w:rFonts w:hint="eastAsia" w:ascii="宋体" w:hAnsi="宋体"/>
          <w:color w:val="000000" w:themeColor="text1"/>
          <w:sz w:val="24"/>
          <w:szCs w:val="24"/>
          <w:highlight w:val="none"/>
          <w14:textFill>
            <w14:solidFill>
              <w14:schemeClr w14:val="tx1"/>
            </w14:solidFill>
          </w14:textFill>
        </w:rPr>
      </w:pPr>
    </w:p>
    <w:p w14:paraId="5E9C7743">
      <w:pPr>
        <w:tabs>
          <w:tab w:val="left" w:pos="618"/>
        </w:tabs>
        <w:spacing w:line="440" w:lineRule="exact"/>
        <w:ind w:firstLine="480" w:firstLineChars="200"/>
        <w:rPr>
          <w:rFonts w:hint="eastAsia" w:ascii="宋体" w:hAnsi="宋体"/>
          <w:color w:val="000000" w:themeColor="text1"/>
          <w:sz w:val="24"/>
          <w:highlight w:val="none"/>
          <w14:textFill>
            <w14:solidFill>
              <w14:schemeClr w14:val="tx1"/>
            </w14:solidFill>
          </w14:textFill>
        </w:rPr>
      </w:pPr>
    </w:p>
    <w:p w14:paraId="4984509B">
      <w:pPr>
        <w:jc w:val="center"/>
        <w:outlineLvl w:val="1"/>
        <w:rPr>
          <w:rFonts w:hint="eastAsia" w:ascii="宋体" w:hAnsi="宋体"/>
          <w:b/>
          <w:bCs/>
          <w:color w:val="000000" w:themeColor="text1"/>
          <w:sz w:val="32"/>
          <w:szCs w:val="32"/>
          <w:highlight w:val="none"/>
          <w14:textFill>
            <w14:solidFill>
              <w14:schemeClr w14:val="tx1"/>
            </w14:solidFill>
          </w14:textFill>
        </w:rPr>
      </w:pPr>
      <w:bookmarkStart w:id="134" w:name="_Toc676"/>
      <w:bookmarkEnd w:id="134"/>
      <w:r>
        <w:rPr>
          <w:rFonts w:hint="eastAsia" w:ascii="宋体" w:hAnsi="宋体"/>
          <w:b/>
          <w:bCs/>
          <w:color w:val="000000" w:themeColor="text1"/>
          <w:sz w:val="32"/>
          <w:szCs w:val="32"/>
          <w:highlight w:val="none"/>
          <w14:textFill>
            <w14:solidFill>
              <w14:schemeClr w14:val="tx1"/>
            </w14:solidFill>
          </w14:textFill>
        </w:rPr>
        <w:br w:type="page"/>
      </w:r>
      <w:bookmarkStart w:id="135" w:name="_Toc13631"/>
      <w:bookmarkStart w:id="136" w:name="_Toc29367"/>
      <w:r>
        <w:rPr>
          <w:rFonts w:hint="eastAsia" w:ascii="宋体" w:hAnsi="宋体"/>
          <w:b/>
          <w:bCs/>
          <w:color w:val="000000" w:themeColor="text1"/>
          <w:sz w:val="32"/>
          <w:szCs w:val="32"/>
          <w:highlight w:val="none"/>
          <w14:textFill>
            <w14:solidFill>
              <w14:schemeClr w14:val="tx1"/>
            </w14:solidFill>
          </w14:textFill>
        </w:rPr>
        <w:t>三．分项报价表</w:t>
      </w:r>
      <w:bookmarkEnd w:id="135"/>
      <w:bookmarkEnd w:id="136"/>
    </w:p>
    <w:tbl>
      <w:tblPr>
        <w:tblStyle w:val="22"/>
        <w:tblW w:w="9777" w:type="dxa"/>
        <w:tblInd w:w="-106"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2" w:space="0"/>
        </w:tblBorders>
        <w:tblLayout w:type="fixed"/>
        <w:tblCellMar>
          <w:top w:w="0" w:type="dxa"/>
          <w:left w:w="108" w:type="dxa"/>
          <w:bottom w:w="0" w:type="dxa"/>
          <w:right w:w="108" w:type="dxa"/>
        </w:tblCellMar>
      </w:tblPr>
      <w:tblGrid>
        <w:gridCol w:w="951"/>
        <w:gridCol w:w="1519"/>
        <w:gridCol w:w="1008"/>
        <w:gridCol w:w="2191"/>
        <w:gridCol w:w="972"/>
        <w:gridCol w:w="1052"/>
        <w:gridCol w:w="1043"/>
        <w:gridCol w:w="1041"/>
      </w:tblGrid>
      <w:tr w14:paraId="6F7033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2" w:space="0"/>
          </w:tblBorders>
          <w:tblCellMar>
            <w:top w:w="0" w:type="dxa"/>
            <w:left w:w="108" w:type="dxa"/>
            <w:bottom w:w="0" w:type="dxa"/>
            <w:right w:w="108" w:type="dxa"/>
          </w:tblCellMar>
        </w:tblPrEx>
        <w:trPr>
          <w:trHeight w:val="1008" w:hRule="atLeast"/>
        </w:trPr>
        <w:tc>
          <w:tcPr>
            <w:tcW w:w="951" w:type="dxa"/>
            <w:vAlign w:val="center"/>
          </w:tcPr>
          <w:p w14:paraId="7302C3B8">
            <w:pPr>
              <w:spacing w:line="300" w:lineRule="exact"/>
              <w:jc w:val="center"/>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序号</w:t>
            </w:r>
          </w:p>
        </w:tc>
        <w:tc>
          <w:tcPr>
            <w:tcW w:w="2527" w:type="dxa"/>
            <w:gridSpan w:val="2"/>
            <w:vAlign w:val="center"/>
          </w:tcPr>
          <w:p w14:paraId="5C9DD599">
            <w:pPr>
              <w:snapToGrid w:val="0"/>
              <w:spacing w:line="400" w:lineRule="exact"/>
              <w:jc w:val="center"/>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货物名称</w:t>
            </w:r>
          </w:p>
        </w:tc>
        <w:tc>
          <w:tcPr>
            <w:tcW w:w="2191" w:type="dxa"/>
            <w:vAlign w:val="center"/>
          </w:tcPr>
          <w:p w14:paraId="3CC69707">
            <w:pPr>
              <w:snapToGrid w:val="0"/>
              <w:spacing w:line="400" w:lineRule="exact"/>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品牌（厂家）、型号和规格</w:t>
            </w:r>
          </w:p>
        </w:tc>
        <w:tc>
          <w:tcPr>
            <w:tcW w:w="972" w:type="dxa"/>
            <w:vAlign w:val="center"/>
          </w:tcPr>
          <w:p w14:paraId="7F76941B">
            <w:pPr>
              <w:snapToGrid w:val="0"/>
              <w:spacing w:line="400" w:lineRule="exact"/>
              <w:jc w:val="center"/>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单位</w:t>
            </w:r>
          </w:p>
        </w:tc>
        <w:tc>
          <w:tcPr>
            <w:tcW w:w="1052" w:type="dxa"/>
            <w:vAlign w:val="center"/>
          </w:tcPr>
          <w:p w14:paraId="587D12E8">
            <w:pPr>
              <w:snapToGrid w:val="0"/>
              <w:spacing w:line="400" w:lineRule="exact"/>
              <w:jc w:val="center"/>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数量</w:t>
            </w:r>
          </w:p>
        </w:tc>
        <w:tc>
          <w:tcPr>
            <w:tcW w:w="1043" w:type="dxa"/>
            <w:vAlign w:val="center"/>
          </w:tcPr>
          <w:p w14:paraId="2757AB98">
            <w:pPr>
              <w:spacing w:line="300" w:lineRule="exact"/>
              <w:jc w:val="center"/>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单价</w:t>
            </w:r>
          </w:p>
          <w:p w14:paraId="308A7380">
            <w:pPr>
              <w:snapToGrid w:val="0"/>
              <w:spacing w:line="400" w:lineRule="exact"/>
              <w:jc w:val="center"/>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（元）</w:t>
            </w:r>
          </w:p>
        </w:tc>
        <w:tc>
          <w:tcPr>
            <w:tcW w:w="1041" w:type="dxa"/>
            <w:vAlign w:val="center"/>
          </w:tcPr>
          <w:p w14:paraId="3B4F6189">
            <w:pPr>
              <w:spacing w:line="300" w:lineRule="exact"/>
              <w:jc w:val="center"/>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合价</w:t>
            </w:r>
          </w:p>
          <w:p w14:paraId="3DD5BF03">
            <w:pPr>
              <w:spacing w:line="300" w:lineRule="exact"/>
              <w:jc w:val="center"/>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（元）</w:t>
            </w:r>
          </w:p>
        </w:tc>
      </w:tr>
      <w:tr w14:paraId="09D505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2" w:space="0"/>
          </w:tblBorders>
          <w:tblCellMar>
            <w:top w:w="0" w:type="dxa"/>
            <w:left w:w="108" w:type="dxa"/>
            <w:bottom w:w="0" w:type="dxa"/>
            <w:right w:w="108" w:type="dxa"/>
          </w:tblCellMar>
        </w:tblPrEx>
        <w:trPr>
          <w:trHeight w:val="1249" w:hRule="atLeast"/>
        </w:trPr>
        <w:tc>
          <w:tcPr>
            <w:tcW w:w="951" w:type="dxa"/>
            <w:vAlign w:val="center"/>
          </w:tcPr>
          <w:p w14:paraId="699719F3">
            <w:pPr>
              <w:spacing w:line="300" w:lineRule="exact"/>
              <w:jc w:val="center"/>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1</w:t>
            </w:r>
          </w:p>
        </w:tc>
        <w:tc>
          <w:tcPr>
            <w:tcW w:w="2527" w:type="dxa"/>
            <w:gridSpan w:val="2"/>
            <w:vAlign w:val="center"/>
          </w:tcPr>
          <w:p w14:paraId="30480984">
            <w:pPr>
              <w:spacing w:line="300" w:lineRule="exact"/>
              <w:jc w:val="center"/>
              <w:rPr>
                <w:rFonts w:hint="eastAsia" w:ascii="宋体" w:hAnsi="宋体"/>
                <w:color w:val="000000" w:themeColor="text1"/>
                <w:kern w:val="0"/>
                <w:sz w:val="24"/>
                <w:szCs w:val="24"/>
                <w:highlight w:val="none"/>
                <w14:textFill>
                  <w14:solidFill>
                    <w14:schemeClr w14:val="tx1"/>
                  </w14:solidFill>
                </w14:textFill>
              </w:rPr>
            </w:pPr>
          </w:p>
        </w:tc>
        <w:tc>
          <w:tcPr>
            <w:tcW w:w="2191" w:type="dxa"/>
            <w:vAlign w:val="center"/>
          </w:tcPr>
          <w:p w14:paraId="40BF37EB">
            <w:pPr>
              <w:spacing w:line="300" w:lineRule="exact"/>
              <w:jc w:val="center"/>
              <w:rPr>
                <w:rFonts w:hint="eastAsia" w:ascii="宋体" w:hAnsi="宋体"/>
                <w:color w:val="000000" w:themeColor="text1"/>
                <w:kern w:val="0"/>
                <w:sz w:val="24"/>
                <w:szCs w:val="24"/>
                <w:highlight w:val="none"/>
                <w14:textFill>
                  <w14:solidFill>
                    <w14:schemeClr w14:val="tx1"/>
                  </w14:solidFill>
                </w14:textFill>
              </w:rPr>
            </w:pPr>
          </w:p>
        </w:tc>
        <w:tc>
          <w:tcPr>
            <w:tcW w:w="972" w:type="dxa"/>
            <w:vAlign w:val="center"/>
          </w:tcPr>
          <w:p w14:paraId="516DDBFA">
            <w:pPr>
              <w:spacing w:line="300" w:lineRule="exact"/>
              <w:jc w:val="center"/>
              <w:rPr>
                <w:rFonts w:hint="eastAsia" w:ascii="宋体" w:hAnsi="宋体"/>
                <w:color w:val="000000" w:themeColor="text1"/>
                <w:kern w:val="0"/>
                <w:sz w:val="24"/>
                <w:szCs w:val="24"/>
                <w:highlight w:val="none"/>
                <w14:textFill>
                  <w14:solidFill>
                    <w14:schemeClr w14:val="tx1"/>
                  </w14:solidFill>
                </w14:textFill>
              </w:rPr>
            </w:pPr>
          </w:p>
          <w:p w14:paraId="692943B2">
            <w:pPr>
              <w:spacing w:line="300" w:lineRule="exact"/>
              <w:jc w:val="center"/>
              <w:rPr>
                <w:rFonts w:hint="eastAsia" w:ascii="宋体" w:hAnsi="宋体"/>
                <w:color w:val="000000" w:themeColor="text1"/>
                <w:kern w:val="0"/>
                <w:sz w:val="24"/>
                <w:szCs w:val="24"/>
                <w:highlight w:val="none"/>
                <w14:textFill>
                  <w14:solidFill>
                    <w14:schemeClr w14:val="tx1"/>
                  </w14:solidFill>
                </w14:textFill>
              </w:rPr>
            </w:pPr>
          </w:p>
        </w:tc>
        <w:tc>
          <w:tcPr>
            <w:tcW w:w="1052" w:type="dxa"/>
            <w:vAlign w:val="center"/>
          </w:tcPr>
          <w:p w14:paraId="7ADA4306">
            <w:pPr>
              <w:snapToGrid w:val="0"/>
              <w:spacing w:line="400" w:lineRule="exact"/>
              <w:jc w:val="center"/>
              <w:rPr>
                <w:rFonts w:hint="eastAsia" w:ascii="宋体" w:hAnsi="宋体"/>
                <w:color w:val="000000" w:themeColor="text1"/>
                <w:sz w:val="24"/>
                <w:szCs w:val="24"/>
                <w:highlight w:val="none"/>
                <w14:textFill>
                  <w14:solidFill>
                    <w14:schemeClr w14:val="tx1"/>
                  </w14:solidFill>
                </w14:textFill>
              </w:rPr>
            </w:pPr>
          </w:p>
        </w:tc>
        <w:tc>
          <w:tcPr>
            <w:tcW w:w="1043" w:type="dxa"/>
            <w:vAlign w:val="center"/>
          </w:tcPr>
          <w:p w14:paraId="0D00DFA9">
            <w:pPr>
              <w:snapToGrid w:val="0"/>
              <w:spacing w:line="400" w:lineRule="exact"/>
              <w:jc w:val="center"/>
              <w:rPr>
                <w:rFonts w:hint="eastAsia" w:ascii="宋体" w:hAnsi="宋体"/>
                <w:color w:val="000000" w:themeColor="text1"/>
                <w:sz w:val="24"/>
                <w:szCs w:val="24"/>
                <w:highlight w:val="none"/>
                <w14:textFill>
                  <w14:solidFill>
                    <w14:schemeClr w14:val="tx1"/>
                  </w14:solidFill>
                </w14:textFill>
              </w:rPr>
            </w:pPr>
          </w:p>
        </w:tc>
        <w:tc>
          <w:tcPr>
            <w:tcW w:w="1041" w:type="dxa"/>
            <w:vAlign w:val="center"/>
          </w:tcPr>
          <w:p w14:paraId="020F2977">
            <w:pPr>
              <w:snapToGrid w:val="0"/>
              <w:spacing w:line="400" w:lineRule="exact"/>
              <w:jc w:val="center"/>
              <w:rPr>
                <w:rFonts w:hint="eastAsia" w:ascii="宋体" w:hAnsi="宋体"/>
                <w:color w:val="000000" w:themeColor="text1"/>
                <w:sz w:val="24"/>
                <w:szCs w:val="24"/>
                <w:highlight w:val="none"/>
                <w14:textFill>
                  <w14:solidFill>
                    <w14:schemeClr w14:val="tx1"/>
                  </w14:solidFill>
                </w14:textFill>
              </w:rPr>
            </w:pPr>
          </w:p>
        </w:tc>
      </w:tr>
      <w:tr w14:paraId="448F38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2" w:space="0"/>
          </w:tblBorders>
          <w:tblCellMar>
            <w:top w:w="0" w:type="dxa"/>
            <w:left w:w="108" w:type="dxa"/>
            <w:bottom w:w="0" w:type="dxa"/>
            <w:right w:w="108" w:type="dxa"/>
          </w:tblCellMar>
        </w:tblPrEx>
        <w:trPr>
          <w:trHeight w:val="1249" w:hRule="atLeast"/>
        </w:trPr>
        <w:tc>
          <w:tcPr>
            <w:tcW w:w="951" w:type="dxa"/>
            <w:vAlign w:val="center"/>
          </w:tcPr>
          <w:p w14:paraId="6838EAD7">
            <w:pPr>
              <w:spacing w:line="300" w:lineRule="exact"/>
              <w:jc w:val="center"/>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2</w:t>
            </w:r>
          </w:p>
        </w:tc>
        <w:tc>
          <w:tcPr>
            <w:tcW w:w="2527" w:type="dxa"/>
            <w:gridSpan w:val="2"/>
            <w:vAlign w:val="center"/>
          </w:tcPr>
          <w:p w14:paraId="7A166AB1">
            <w:pPr>
              <w:spacing w:line="300" w:lineRule="exact"/>
              <w:jc w:val="center"/>
              <w:rPr>
                <w:rFonts w:hint="eastAsia" w:ascii="宋体" w:hAnsi="宋体"/>
                <w:color w:val="000000" w:themeColor="text1"/>
                <w:kern w:val="0"/>
                <w:sz w:val="24"/>
                <w:szCs w:val="24"/>
                <w:highlight w:val="none"/>
                <w14:textFill>
                  <w14:solidFill>
                    <w14:schemeClr w14:val="tx1"/>
                  </w14:solidFill>
                </w14:textFill>
              </w:rPr>
            </w:pPr>
          </w:p>
        </w:tc>
        <w:tc>
          <w:tcPr>
            <w:tcW w:w="2191" w:type="dxa"/>
            <w:vAlign w:val="center"/>
          </w:tcPr>
          <w:p w14:paraId="0D19226C">
            <w:pPr>
              <w:spacing w:line="300" w:lineRule="exact"/>
              <w:jc w:val="center"/>
              <w:rPr>
                <w:rFonts w:hint="eastAsia" w:ascii="宋体" w:hAnsi="宋体"/>
                <w:color w:val="000000" w:themeColor="text1"/>
                <w:kern w:val="0"/>
                <w:sz w:val="24"/>
                <w:szCs w:val="24"/>
                <w:highlight w:val="none"/>
                <w14:textFill>
                  <w14:solidFill>
                    <w14:schemeClr w14:val="tx1"/>
                  </w14:solidFill>
                </w14:textFill>
              </w:rPr>
            </w:pPr>
          </w:p>
        </w:tc>
        <w:tc>
          <w:tcPr>
            <w:tcW w:w="972" w:type="dxa"/>
            <w:vAlign w:val="center"/>
          </w:tcPr>
          <w:p w14:paraId="2136A9CD">
            <w:pPr>
              <w:spacing w:line="300" w:lineRule="exact"/>
              <w:jc w:val="center"/>
              <w:rPr>
                <w:rFonts w:hint="eastAsia" w:ascii="宋体" w:hAnsi="宋体"/>
                <w:color w:val="000000" w:themeColor="text1"/>
                <w:kern w:val="0"/>
                <w:sz w:val="24"/>
                <w:szCs w:val="24"/>
                <w:highlight w:val="none"/>
                <w14:textFill>
                  <w14:solidFill>
                    <w14:schemeClr w14:val="tx1"/>
                  </w14:solidFill>
                </w14:textFill>
              </w:rPr>
            </w:pPr>
          </w:p>
        </w:tc>
        <w:tc>
          <w:tcPr>
            <w:tcW w:w="1052" w:type="dxa"/>
            <w:vAlign w:val="center"/>
          </w:tcPr>
          <w:p w14:paraId="068CF7E4">
            <w:pPr>
              <w:snapToGrid w:val="0"/>
              <w:spacing w:line="400" w:lineRule="exact"/>
              <w:jc w:val="center"/>
              <w:rPr>
                <w:rFonts w:hint="eastAsia" w:ascii="宋体" w:hAnsi="宋体"/>
                <w:color w:val="000000" w:themeColor="text1"/>
                <w:sz w:val="24"/>
                <w:szCs w:val="24"/>
                <w:highlight w:val="none"/>
                <w14:textFill>
                  <w14:solidFill>
                    <w14:schemeClr w14:val="tx1"/>
                  </w14:solidFill>
                </w14:textFill>
              </w:rPr>
            </w:pPr>
          </w:p>
        </w:tc>
        <w:tc>
          <w:tcPr>
            <w:tcW w:w="1043" w:type="dxa"/>
            <w:vAlign w:val="center"/>
          </w:tcPr>
          <w:p w14:paraId="4943F6C5">
            <w:pPr>
              <w:snapToGrid w:val="0"/>
              <w:spacing w:line="400" w:lineRule="exact"/>
              <w:jc w:val="center"/>
              <w:rPr>
                <w:rFonts w:hint="eastAsia" w:ascii="宋体" w:hAnsi="宋体"/>
                <w:color w:val="000000" w:themeColor="text1"/>
                <w:sz w:val="24"/>
                <w:szCs w:val="24"/>
                <w:highlight w:val="none"/>
                <w14:textFill>
                  <w14:solidFill>
                    <w14:schemeClr w14:val="tx1"/>
                  </w14:solidFill>
                </w14:textFill>
              </w:rPr>
            </w:pPr>
          </w:p>
        </w:tc>
        <w:tc>
          <w:tcPr>
            <w:tcW w:w="1041" w:type="dxa"/>
            <w:vAlign w:val="center"/>
          </w:tcPr>
          <w:p w14:paraId="51951AAB">
            <w:pPr>
              <w:snapToGrid w:val="0"/>
              <w:spacing w:line="400" w:lineRule="exact"/>
              <w:jc w:val="center"/>
              <w:rPr>
                <w:rFonts w:hint="eastAsia" w:ascii="宋体" w:hAnsi="宋体"/>
                <w:color w:val="000000" w:themeColor="text1"/>
                <w:sz w:val="24"/>
                <w:szCs w:val="24"/>
                <w:highlight w:val="none"/>
                <w14:textFill>
                  <w14:solidFill>
                    <w14:schemeClr w14:val="tx1"/>
                  </w14:solidFill>
                </w14:textFill>
              </w:rPr>
            </w:pPr>
          </w:p>
        </w:tc>
      </w:tr>
      <w:tr w14:paraId="7A65D0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2" w:space="0"/>
          </w:tblBorders>
          <w:tblCellMar>
            <w:top w:w="0" w:type="dxa"/>
            <w:left w:w="108" w:type="dxa"/>
            <w:bottom w:w="0" w:type="dxa"/>
            <w:right w:w="108" w:type="dxa"/>
          </w:tblCellMar>
        </w:tblPrEx>
        <w:trPr>
          <w:trHeight w:val="1249" w:hRule="atLeast"/>
        </w:trPr>
        <w:tc>
          <w:tcPr>
            <w:tcW w:w="951" w:type="dxa"/>
            <w:vAlign w:val="center"/>
          </w:tcPr>
          <w:p w14:paraId="7F332A14">
            <w:pPr>
              <w:spacing w:line="300" w:lineRule="exact"/>
              <w:jc w:val="center"/>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w:t>
            </w:r>
          </w:p>
        </w:tc>
        <w:tc>
          <w:tcPr>
            <w:tcW w:w="2527" w:type="dxa"/>
            <w:gridSpan w:val="2"/>
            <w:vAlign w:val="center"/>
          </w:tcPr>
          <w:p w14:paraId="35F9193A">
            <w:pPr>
              <w:spacing w:line="300" w:lineRule="exact"/>
              <w:jc w:val="center"/>
              <w:rPr>
                <w:rFonts w:hint="eastAsia" w:ascii="宋体" w:hAnsi="宋体"/>
                <w:color w:val="000000" w:themeColor="text1"/>
                <w:kern w:val="0"/>
                <w:sz w:val="24"/>
                <w:szCs w:val="24"/>
                <w:highlight w:val="none"/>
                <w14:textFill>
                  <w14:solidFill>
                    <w14:schemeClr w14:val="tx1"/>
                  </w14:solidFill>
                </w14:textFill>
              </w:rPr>
            </w:pPr>
          </w:p>
        </w:tc>
        <w:tc>
          <w:tcPr>
            <w:tcW w:w="2191" w:type="dxa"/>
            <w:vAlign w:val="center"/>
          </w:tcPr>
          <w:p w14:paraId="07F984A4">
            <w:pPr>
              <w:spacing w:line="300" w:lineRule="exact"/>
              <w:jc w:val="center"/>
              <w:rPr>
                <w:rFonts w:hint="eastAsia" w:ascii="宋体" w:hAnsi="宋体"/>
                <w:color w:val="000000" w:themeColor="text1"/>
                <w:kern w:val="0"/>
                <w:sz w:val="24"/>
                <w:szCs w:val="24"/>
                <w:highlight w:val="none"/>
                <w14:textFill>
                  <w14:solidFill>
                    <w14:schemeClr w14:val="tx1"/>
                  </w14:solidFill>
                </w14:textFill>
              </w:rPr>
            </w:pPr>
          </w:p>
        </w:tc>
        <w:tc>
          <w:tcPr>
            <w:tcW w:w="972" w:type="dxa"/>
            <w:vAlign w:val="center"/>
          </w:tcPr>
          <w:p w14:paraId="36557502">
            <w:pPr>
              <w:spacing w:line="300" w:lineRule="exact"/>
              <w:jc w:val="center"/>
              <w:rPr>
                <w:rFonts w:hint="eastAsia" w:ascii="宋体" w:hAnsi="宋体"/>
                <w:color w:val="000000" w:themeColor="text1"/>
                <w:kern w:val="0"/>
                <w:sz w:val="24"/>
                <w:szCs w:val="24"/>
                <w:highlight w:val="none"/>
                <w14:textFill>
                  <w14:solidFill>
                    <w14:schemeClr w14:val="tx1"/>
                  </w14:solidFill>
                </w14:textFill>
              </w:rPr>
            </w:pPr>
          </w:p>
        </w:tc>
        <w:tc>
          <w:tcPr>
            <w:tcW w:w="1052" w:type="dxa"/>
            <w:vAlign w:val="center"/>
          </w:tcPr>
          <w:p w14:paraId="6033DBB8">
            <w:pPr>
              <w:snapToGrid w:val="0"/>
              <w:spacing w:line="400" w:lineRule="exact"/>
              <w:jc w:val="center"/>
              <w:rPr>
                <w:rFonts w:hint="eastAsia" w:ascii="宋体" w:hAnsi="宋体"/>
                <w:color w:val="000000" w:themeColor="text1"/>
                <w:sz w:val="24"/>
                <w:szCs w:val="24"/>
                <w:highlight w:val="none"/>
                <w14:textFill>
                  <w14:solidFill>
                    <w14:schemeClr w14:val="tx1"/>
                  </w14:solidFill>
                </w14:textFill>
              </w:rPr>
            </w:pPr>
          </w:p>
        </w:tc>
        <w:tc>
          <w:tcPr>
            <w:tcW w:w="1043" w:type="dxa"/>
            <w:vAlign w:val="center"/>
          </w:tcPr>
          <w:p w14:paraId="736D8081">
            <w:pPr>
              <w:snapToGrid w:val="0"/>
              <w:spacing w:line="400" w:lineRule="exact"/>
              <w:jc w:val="center"/>
              <w:rPr>
                <w:rFonts w:hint="eastAsia" w:ascii="宋体" w:hAnsi="宋体"/>
                <w:color w:val="000000" w:themeColor="text1"/>
                <w:sz w:val="24"/>
                <w:szCs w:val="24"/>
                <w:highlight w:val="none"/>
                <w14:textFill>
                  <w14:solidFill>
                    <w14:schemeClr w14:val="tx1"/>
                  </w14:solidFill>
                </w14:textFill>
              </w:rPr>
            </w:pPr>
          </w:p>
        </w:tc>
        <w:tc>
          <w:tcPr>
            <w:tcW w:w="1041" w:type="dxa"/>
            <w:vAlign w:val="center"/>
          </w:tcPr>
          <w:p w14:paraId="1EBF90DB">
            <w:pPr>
              <w:snapToGrid w:val="0"/>
              <w:spacing w:line="400" w:lineRule="exact"/>
              <w:jc w:val="center"/>
              <w:rPr>
                <w:rFonts w:hint="eastAsia" w:ascii="宋体" w:hAnsi="宋体"/>
                <w:color w:val="000000" w:themeColor="text1"/>
                <w:sz w:val="24"/>
                <w:szCs w:val="24"/>
                <w:highlight w:val="none"/>
                <w14:textFill>
                  <w14:solidFill>
                    <w14:schemeClr w14:val="tx1"/>
                  </w14:solidFill>
                </w14:textFill>
              </w:rPr>
            </w:pPr>
          </w:p>
        </w:tc>
      </w:tr>
      <w:tr w14:paraId="7DD91C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2" w:space="0"/>
          </w:tblBorders>
          <w:tblCellMar>
            <w:top w:w="0" w:type="dxa"/>
            <w:left w:w="108" w:type="dxa"/>
            <w:bottom w:w="0" w:type="dxa"/>
            <w:right w:w="108" w:type="dxa"/>
          </w:tblCellMar>
        </w:tblPrEx>
        <w:trPr>
          <w:trHeight w:val="1358" w:hRule="atLeast"/>
        </w:trPr>
        <w:tc>
          <w:tcPr>
            <w:tcW w:w="2470" w:type="dxa"/>
            <w:gridSpan w:val="2"/>
            <w:vAlign w:val="center"/>
          </w:tcPr>
          <w:p w14:paraId="331C302F">
            <w:pPr>
              <w:snapToGrid w:val="0"/>
              <w:spacing w:line="400" w:lineRule="exact"/>
              <w:jc w:val="center"/>
              <w:rPr>
                <w:rFonts w:hint="eastAsia" w:ascii="宋体" w:hAnsi="宋体"/>
                <w:b/>
                <w:bCs/>
                <w:color w:val="000000" w:themeColor="text1"/>
                <w:kern w:val="0"/>
                <w:sz w:val="24"/>
                <w:szCs w:val="24"/>
                <w:highlight w:val="none"/>
                <w14:textFill>
                  <w14:solidFill>
                    <w14:schemeClr w14:val="tx1"/>
                  </w14:solidFill>
                </w14:textFill>
              </w:rPr>
            </w:pPr>
            <w:r>
              <w:rPr>
                <w:rFonts w:hint="eastAsia" w:ascii="宋体" w:hAnsi="宋体"/>
                <w:b/>
                <w:bCs/>
                <w:color w:val="000000" w:themeColor="text1"/>
                <w:kern w:val="0"/>
                <w:sz w:val="24"/>
                <w:szCs w:val="24"/>
                <w:highlight w:val="none"/>
                <w14:textFill>
                  <w14:solidFill>
                    <w14:schemeClr w14:val="tx1"/>
                  </w14:solidFill>
                </w14:textFill>
              </w:rPr>
              <w:t>本表报价合计</w:t>
            </w:r>
          </w:p>
          <w:p w14:paraId="1D9D7DDB">
            <w:pPr>
              <w:snapToGrid w:val="0"/>
              <w:spacing w:line="400" w:lineRule="exact"/>
              <w:jc w:val="center"/>
              <w:rPr>
                <w:rFonts w:hint="eastAsia" w:ascii="宋体" w:hAnsi="宋体"/>
                <w:b/>
                <w:bCs/>
                <w:color w:val="000000" w:themeColor="text1"/>
                <w:kern w:val="0"/>
                <w:sz w:val="24"/>
                <w:szCs w:val="24"/>
                <w:highlight w:val="none"/>
                <w14:textFill>
                  <w14:solidFill>
                    <w14:schemeClr w14:val="tx1"/>
                  </w14:solidFill>
                </w14:textFill>
              </w:rPr>
            </w:pPr>
            <w:r>
              <w:rPr>
                <w:rFonts w:hint="eastAsia" w:ascii="宋体" w:hAnsi="宋体"/>
                <w:b/>
                <w:bCs/>
                <w:color w:val="000000" w:themeColor="text1"/>
                <w:kern w:val="0"/>
                <w:sz w:val="24"/>
                <w:szCs w:val="24"/>
                <w:highlight w:val="none"/>
                <w14:textFill>
                  <w14:solidFill>
                    <w14:schemeClr w14:val="tx1"/>
                  </w14:solidFill>
                </w14:textFill>
              </w:rPr>
              <w:t>（大写）</w:t>
            </w:r>
          </w:p>
        </w:tc>
        <w:tc>
          <w:tcPr>
            <w:tcW w:w="6266" w:type="dxa"/>
            <w:gridSpan w:val="5"/>
            <w:vAlign w:val="center"/>
          </w:tcPr>
          <w:p w14:paraId="7DC57196">
            <w:pPr>
              <w:snapToGrid w:val="0"/>
              <w:spacing w:line="400" w:lineRule="exact"/>
              <w:jc w:val="center"/>
              <w:rPr>
                <w:rFonts w:hint="eastAsia" w:ascii="宋体" w:hAnsi="宋体"/>
                <w:color w:val="000000" w:themeColor="text1"/>
                <w:sz w:val="24"/>
                <w:szCs w:val="24"/>
                <w:highlight w:val="none"/>
                <w14:textFill>
                  <w14:solidFill>
                    <w14:schemeClr w14:val="tx1"/>
                  </w14:solidFill>
                </w14:textFill>
              </w:rPr>
            </w:pPr>
          </w:p>
        </w:tc>
        <w:tc>
          <w:tcPr>
            <w:tcW w:w="1041" w:type="dxa"/>
            <w:vAlign w:val="center"/>
          </w:tcPr>
          <w:p w14:paraId="33FB0EE8">
            <w:pPr>
              <w:snapToGrid w:val="0"/>
              <w:spacing w:line="400" w:lineRule="exact"/>
              <w:jc w:val="center"/>
              <w:rPr>
                <w:rFonts w:hint="eastAsia" w:ascii="宋体" w:hAnsi="宋体"/>
                <w:color w:val="000000" w:themeColor="text1"/>
                <w:sz w:val="24"/>
                <w:szCs w:val="24"/>
                <w:highlight w:val="none"/>
                <w14:textFill>
                  <w14:solidFill>
                    <w14:schemeClr w14:val="tx1"/>
                  </w14:solidFill>
                </w14:textFill>
              </w:rPr>
            </w:pPr>
          </w:p>
        </w:tc>
      </w:tr>
    </w:tbl>
    <w:p w14:paraId="5383703C">
      <w:pPr>
        <w:jc w:val="center"/>
        <w:rPr>
          <w:rFonts w:hint="eastAsia" w:ascii="宋体" w:hAnsi="宋体"/>
          <w:color w:val="000000" w:themeColor="text1"/>
          <w:sz w:val="24"/>
          <w:szCs w:val="24"/>
          <w:highlight w:val="none"/>
          <w14:textFill>
            <w14:solidFill>
              <w14:schemeClr w14:val="tx1"/>
            </w14:solidFill>
          </w14:textFill>
        </w:rPr>
      </w:pPr>
    </w:p>
    <w:p w14:paraId="02DE3296">
      <w:pPr>
        <w:spacing w:line="480" w:lineRule="auto"/>
        <w:ind w:right="277" w:rightChars="132" w:firstLine="2880" w:firstLineChars="1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（电子印章）</w:t>
      </w:r>
    </w:p>
    <w:p w14:paraId="0F7695EA">
      <w:pPr>
        <w:spacing w:line="480" w:lineRule="auto"/>
        <w:ind w:right="277" w:rightChars="132" w:firstLine="2880" w:firstLineChars="1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（电子签章）</w:t>
      </w:r>
    </w:p>
    <w:p w14:paraId="4B10D037">
      <w:pPr>
        <w:spacing w:line="600" w:lineRule="exact"/>
        <w:ind w:firstLine="2880" w:firstLineChars="1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6F487E8A">
      <w:pPr>
        <w:rPr>
          <w:rFonts w:hint="eastAsia" w:ascii="宋体" w:hAnsi="宋体"/>
          <w:color w:val="000000" w:themeColor="text1"/>
          <w:sz w:val="24"/>
          <w:szCs w:val="24"/>
          <w:highlight w:val="none"/>
          <w14:textFill>
            <w14:solidFill>
              <w14:schemeClr w14:val="tx1"/>
            </w14:solidFill>
          </w14:textFill>
        </w:rPr>
      </w:pPr>
    </w:p>
    <w:p w14:paraId="1ACFCBBE">
      <w:pPr>
        <w:spacing w:line="360" w:lineRule="auto"/>
        <w:jc w:val="center"/>
        <w:rPr>
          <w:rFonts w:hint="eastAsia" w:ascii="宋体" w:hAnsi="宋体"/>
          <w:color w:val="000000" w:themeColor="text1"/>
          <w:sz w:val="24"/>
          <w:szCs w:val="24"/>
          <w:highlight w:val="none"/>
          <w14:textFill>
            <w14:solidFill>
              <w14:schemeClr w14:val="tx1"/>
            </w14:solidFill>
          </w14:textFill>
        </w:rPr>
      </w:pPr>
    </w:p>
    <w:p w14:paraId="7402BE9C">
      <w:pPr>
        <w:spacing w:line="360" w:lineRule="auto"/>
        <w:jc w:val="center"/>
        <w:rPr>
          <w:rFonts w:hint="eastAsia" w:ascii="宋体" w:hAnsi="宋体"/>
          <w:color w:val="000000" w:themeColor="text1"/>
          <w:sz w:val="24"/>
          <w:szCs w:val="24"/>
          <w:highlight w:val="none"/>
          <w14:textFill>
            <w14:solidFill>
              <w14:schemeClr w14:val="tx1"/>
            </w14:solidFill>
          </w14:textFill>
        </w:rPr>
      </w:pPr>
    </w:p>
    <w:p w14:paraId="35355712">
      <w:pPr>
        <w:spacing w:line="360" w:lineRule="auto"/>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注: 1.型号和规格必须详细说明。</w:t>
      </w:r>
    </w:p>
    <w:p w14:paraId="528BDC54">
      <w:pPr>
        <w:spacing w:line="360" w:lineRule="auto"/>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2.此表仅为格式示例,不具有约束性,</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可根据需要对表进行扩展或修改。</w:t>
      </w:r>
    </w:p>
    <w:p w14:paraId="578D31E6">
      <w:pPr>
        <w:jc w:val="center"/>
        <w:rPr>
          <w:rFonts w:hint="eastAsia" w:ascii="宋体" w:hAnsi="宋体"/>
          <w:color w:val="000000" w:themeColor="text1"/>
          <w:sz w:val="24"/>
          <w:szCs w:val="24"/>
          <w:highlight w:val="none"/>
          <w14:textFill>
            <w14:solidFill>
              <w14:schemeClr w14:val="tx1"/>
            </w14:solidFill>
          </w14:textFill>
        </w:rPr>
      </w:pPr>
    </w:p>
    <w:p w14:paraId="48F999F4">
      <w:pPr>
        <w:jc w:val="center"/>
        <w:rPr>
          <w:rFonts w:hint="eastAsia" w:ascii="宋体" w:hAnsi="宋体"/>
          <w:color w:val="000000" w:themeColor="text1"/>
          <w:sz w:val="24"/>
          <w:szCs w:val="24"/>
          <w:highlight w:val="none"/>
          <w14:textFill>
            <w14:solidFill>
              <w14:schemeClr w14:val="tx1"/>
            </w14:solidFill>
          </w14:textFill>
        </w:rPr>
      </w:pPr>
    </w:p>
    <w:p w14:paraId="3C3AB3A0">
      <w:pPr>
        <w:jc w:val="center"/>
        <w:rPr>
          <w:rFonts w:hint="eastAsia" w:ascii="宋体" w:hAnsi="宋体"/>
          <w:color w:val="000000" w:themeColor="text1"/>
          <w:sz w:val="24"/>
          <w:szCs w:val="24"/>
          <w:highlight w:val="none"/>
          <w14:textFill>
            <w14:solidFill>
              <w14:schemeClr w14:val="tx1"/>
            </w14:solidFill>
          </w14:textFill>
        </w:rPr>
      </w:pPr>
    </w:p>
    <w:p w14:paraId="2F27931D">
      <w:pPr>
        <w:jc w:val="center"/>
        <w:rPr>
          <w:rFonts w:hint="eastAsia" w:ascii="宋体" w:hAnsi="宋体"/>
          <w:color w:val="000000" w:themeColor="text1"/>
          <w:sz w:val="24"/>
          <w:szCs w:val="24"/>
          <w:highlight w:val="none"/>
          <w14:textFill>
            <w14:solidFill>
              <w14:schemeClr w14:val="tx1"/>
            </w14:solidFill>
          </w14:textFill>
        </w:rPr>
      </w:pPr>
    </w:p>
    <w:p w14:paraId="79BEEB9A">
      <w:pPr>
        <w:jc w:val="center"/>
        <w:rPr>
          <w:rFonts w:hint="eastAsia" w:ascii="宋体" w:hAnsi="宋体"/>
          <w:color w:val="000000" w:themeColor="text1"/>
          <w:sz w:val="24"/>
          <w:szCs w:val="24"/>
          <w:highlight w:val="none"/>
          <w14:textFill>
            <w14:solidFill>
              <w14:schemeClr w14:val="tx1"/>
            </w14:solidFill>
          </w14:textFill>
        </w:rPr>
      </w:pPr>
    </w:p>
    <w:p w14:paraId="70FB8BA8">
      <w:pPr>
        <w:jc w:val="center"/>
        <w:rPr>
          <w:rFonts w:hint="eastAsia" w:ascii="宋体" w:hAnsi="宋体"/>
          <w:color w:val="000000" w:themeColor="text1"/>
          <w:sz w:val="24"/>
          <w:szCs w:val="24"/>
          <w:highlight w:val="none"/>
          <w14:textFill>
            <w14:solidFill>
              <w14:schemeClr w14:val="tx1"/>
            </w14:solidFill>
          </w14:textFill>
        </w:rPr>
      </w:pPr>
    </w:p>
    <w:p w14:paraId="64E4F9B5">
      <w:pPr>
        <w:rPr>
          <w:rFonts w:hint="eastAsia" w:ascii="宋体" w:hAnsi="宋体"/>
          <w:b/>
          <w:bCs/>
          <w:color w:val="000000" w:themeColor="text1"/>
          <w:sz w:val="32"/>
          <w:szCs w:val="32"/>
          <w:highlight w:val="none"/>
          <w14:textFill>
            <w14:solidFill>
              <w14:schemeClr w14:val="tx1"/>
            </w14:solidFill>
          </w14:textFill>
        </w:rPr>
      </w:pPr>
      <w:bookmarkStart w:id="137" w:name="_Toc3446"/>
      <w:bookmarkEnd w:id="137"/>
      <w:bookmarkStart w:id="138" w:name="_Toc27111"/>
      <w:r>
        <w:rPr>
          <w:rFonts w:hint="eastAsia" w:ascii="宋体" w:hAnsi="宋体"/>
          <w:b/>
          <w:bCs/>
          <w:color w:val="000000" w:themeColor="text1"/>
          <w:sz w:val="32"/>
          <w:szCs w:val="32"/>
          <w:highlight w:val="none"/>
          <w14:textFill>
            <w14:solidFill>
              <w14:schemeClr w14:val="tx1"/>
            </w14:solidFill>
          </w14:textFill>
        </w:rPr>
        <w:br w:type="page"/>
      </w:r>
    </w:p>
    <w:p w14:paraId="7E067110">
      <w:pPr>
        <w:jc w:val="center"/>
        <w:outlineLvl w:val="1"/>
        <w:rPr>
          <w:rFonts w:hint="eastAsia" w:ascii="宋体" w:hAnsi="宋体"/>
          <w:b/>
          <w:bCs/>
          <w:color w:val="000000" w:themeColor="text1"/>
          <w:sz w:val="32"/>
          <w:szCs w:val="32"/>
          <w:highlight w:val="none"/>
          <w14:textFill>
            <w14:solidFill>
              <w14:schemeClr w14:val="tx1"/>
            </w14:solidFill>
          </w14:textFill>
        </w:rPr>
      </w:pPr>
      <w:bookmarkStart w:id="139" w:name="_Toc17780"/>
      <w:r>
        <w:rPr>
          <w:rFonts w:hint="eastAsia" w:ascii="宋体" w:hAnsi="宋体"/>
          <w:b/>
          <w:bCs/>
          <w:color w:val="000000" w:themeColor="text1"/>
          <w:sz w:val="32"/>
          <w:szCs w:val="32"/>
          <w:highlight w:val="none"/>
          <w14:textFill>
            <w14:solidFill>
              <w14:schemeClr w14:val="tx1"/>
            </w14:solidFill>
          </w14:textFill>
        </w:rPr>
        <w:t>四．偏离表</w:t>
      </w:r>
      <w:bookmarkEnd w:id="138"/>
      <w:bookmarkEnd w:id="139"/>
    </w:p>
    <w:p w14:paraId="500A1EFA">
      <w:pPr>
        <w:spacing w:line="440" w:lineRule="exact"/>
        <w:jc w:val="center"/>
        <w:rPr>
          <w:rFonts w:hint="eastAsia" w:ascii="宋体" w:hAnsi="宋体"/>
          <w:b/>
          <w:bCs/>
          <w:color w:val="000000" w:themeColor="text1"/>
          <w:sz w:val="28"/>
          <w:szCs w:val="28"/>
          <w:highlight w:val="none"/>
          <w14:textFill>
            <w14:solidFill>
              <w14:schemeClr w14:val="tx1"/>
            </w14:solidFill>
          </w14:textFill>
        </w:rPr>
      </w:pPr>
    </w:p>
    <w:p w14:paraId="77E8D2B3">
      <w:pPr>
        <w:spacing w:line="440" w:lineRule="exact"/>
        <w:jc w:val="center"/>
        <w:rPr>
          <w:rFonts w:hint="eastAsia"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技术偏离表</w:t>
      </w:r>
    </w:p>
    <w:p w14:paraId="01297AA6">
      <w:pPr>
        <w:jc w:val="center"/>
        <w:rPr>
          <w:rFonts w:hint="eastAsia" w:ascii="宋体" w:hAnsi="宋体"/>
          <w:color w:val="000000" w:themeColor="text1"/>
          <w:sz w:val="24"/>
          <w:szCs w:val="24"/>
          <w:highlight w:val="none"/>
          <w14:textFill>
            <w14:solidFill>
              <w14:schemeClr w14:val="tx1"/>
            </w14:solidFill>
          </w14:textFill>
        </w:rPr>
      </w:pPr>
    </w:p>
    <w:p w14:paraId="41A6E203">
      <w:pPr>
        <w:jc w:val="left"/>
        <w:rPr>
          <w:rFonts w:hint="eastAsia" w:ascii="宋体" w:hAnsi="宋体"/>
          <w:color w:val="000000" w:themeColor="text1"/>
          <w:sz w:val="24"/>
          <w:szCs w:val="24"/>
          <w:highlight w:val="none"/>
          <w:u w:val="single"/>
          <w14:textFill>
            <w14:solidFill>
              <w14:schemeClr w14:val="tx1"/>
            </w14:solidFill>
          </w14:textFill>
        </w:rPr>
      </w:pPr>
    </w:p>
    <w:tbl>
      <w:tblPr>
        <w:tblStyle w:val="22"/>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022"/>
        <w:gridCol w:w="1588"/>
        <w:gridCol w:w="1762"/>
        <w:gridCol w:w="1763"/>
        <w:gridCol w:w="1762"/>
        <w:gridCol w:w="1763"/>
      </w:tblGrid>
      <w:tr w14:paraId="5A64679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899" w:hRule="atLeast"/>
          <w:jc w:val="center"/>
        </w:trPr>
        <w:tc>
          <w:tcPr>
            <w:tcW w:w="1022" w:type="dxa"/>
            <w:vAlign w:val="center"/>
          </w:tcPr>
          <w:p w14:paraId="2EDD5E8A">
            <w:pPr>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序号</w:t>
            </w:r>
          </w:p>
        </w:tc>
        <w:tc>
          <w:tcPr>
            <w:tcW w:w="1588" w:type="dxa"/>
            <w:vAlign w:val="center"/>
          </w:tcPr>
          <w:p w14:paraId="6E21DF05">
            <w:pPr>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货物名称</w:t>
            </w:r>
          </w:p>
        </w:tc>
        <w:tc>
          <w:tcPr>
            <w:tcW w:w="1762" w:type="dxa"/>
            <w:vAlign w:val="center"/>
          </w:tcPr>
          <w:p w14:paraId="72E778E6">
            <w:pPr>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招标规格</w:t>
            </w:r>
          </w:p>
        </w:tc>
        <w:tc>
          <w:tcPr>
            <w:tcW w:w="1763" w:type="dxa"/>
            <w:vAlign w:val="center"/>
          </w:tcPr>
          <w:p w14:paraId="499C871B">
            <w:pPr>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投标规格</w:t>
            </w:r>
          </w:p>
        </w:tc>
        <w:tc>
          <w:tcPr>
            <w:tcW w:w="1762" w:type="dxa"/>
            <w:vAlign w:val="center"/>
          </w:tcPr>
          <w:p w14:paraId="0CB206FB">
            <w:pPr>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偏离度</w:t>
            </w:r>
          </w:p>
        </w:tc>
        <w:tc>
          <w:tcPr>
            <w:tcW w:w="1763" w:type="dxa"/>
            <w:vAlign w:val="center"/>
          </w:tcPr>
          <w:p w14:paraId="7AD656AC">
            <w:pPr>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说明</w:t>
            </w:r>
          </w:p>
        </w:tc>
      </w:tr>
      <w:tr w14:paraId="7142F4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870" w:hRule="atLeast"/>
          <w:jc w:val="center"/>
        </w:trPr>
        <w:tc>
          <w:tcPr>
            <w:tcW w:w="1022" w:type="dxa"/>
            <w:vAlign w:val="center"/>
          </w:tcPr>
          <w:p w14:paraId="191D06F3">
            <w:pPr>
              <w:jc w:val="center"/>
              <w:rPr>
                <w:rFonts w:hint="eastAsia" w:ascii="宋体" w:hAnsi="宋体"/>
                <w:color w:val="000000" w:themeColor="text1"/>
                <w:highlight w:val="none"/>
                <w14:textFill>
                  <w14:solidFill>
                    <w14:schemeClr w14:val="tx1"/>
                  </w14:solidFill>
                </w14:textFill>
              </w:rPr>
            </w:pPr>
          </w:p>
        </w:tc>
        <w:tc>
          <w:tcPr>
            <w:tcW w:w="1588" w:type="dxa"/>
            <w:vAlign w:val="center"/>
          </w:tcPr>
          <w:p w14:paraId="23488C09">
            <w:pPr>
              <w:spacing w:line="360" w:lineRule="auto"/>
              <w:ind w:left="50" w:right="-176" w:rightChars="-84" w:hanging="50" w:hangingChars="24"/>
              <w:rPr>
                <w:rFonts w:hint="eastAsia" w:ascii="宋体" w:hAnsi="宋体"/>
                <w:color w:val="000000" w:themeColor="text1"/>
                <w:highlight w:val="none"/>
                <w14:textFill>
                  <w14:solidFill>
                    <w14:schemeClr w14:val="tx1"/>
                  </w14:solidFill>
                </w14:textFill>
              </w:rPr>
            </w:pPr>
          </w:p>
        </w:tc>
        <w:tc>
          <w:tcPr>
            <w:tcW w:w="1762" w:type="dxa"/>
            <w:vAlign w:val="center"/>
          </w:tcPr>
          <w:p w14:paraId="1F478934">
            <w:pPr>
              <w:spacing w:line="360" w:lineRule="auto"/>
              <w:ind w:left="50" w:right="-176" w:rightChars="-84" w:hanging="50" w:hangingChars="24"/>
              <w:rPr>
                <w:rFonts w:hint="eastAsia" w:ascii="宋体" w:hAnsi="宋体"/>
                <w:color w:val="000000" w:themeColor="text1"/>
                <w:highlight w:val="none"/>
                <w14:textFill>
                  <w14:solidFill>
                    <w14:schemeClr w14:val="tx1"/>
                  </w14:solidFill>
                </w14:textFill>
              </w:rPr>
            </w:pPr>
          </w:p>
        </w:tc>
        <w:tc>
          <w:tcPr>
            <w:tcW w:w="1763" w:type="dxa"/>
            <w:vAlign w:val="center"/>
          </w:tcPr>
          <w:p w14:paraId="550D7A9E">
            <w:pPr>
              <w:jc w:val="center"/>
              <w:rPr>
                <w:rFonts w:hint="eastAsia" w:ascii="宋体" w:hAnsi="宋体"/>
                <w:color w:val="000000" w:themeColor="text1"/>
                <w:highlight w:val="none"/>
                <w14:textFill>
                  <w14:solidFill>
                    <w14:schemeClr w14:val="tx1"/>
                  </w14:solidFill>
                </w14:textFill>
              </w:rPr>
            </w:pPr>
          </w:p>
        </w:tc>
        <w:tc>
          <w:tcPr>
            <w:tcW w:w="1762" w:type="dxa"/>
            <w:vAlign w:val="center"/>
          </w:tcPr>
          <w:p w14:paraId="14D0DF64">
            <w:pPr>
              <w:jc w:val="center"/>
              <w:rPr>
                <w:rFonts w:hint="eastAsia" w:ascii="宋体" w:hAnsi="宋体"/>
                <w:color w:val="000000" w:themeColor="text1"/>
                <w:highlight w:val="none"/>
                <w:u w:val="single"/>
                <w14:textFill>
                  <w14:solidFill>
                    <w14:schemeClr w14:val="tx1"/>
                  </w14:solidFill>
                </w14:textFill>
              </w:rPr>
            </w:pPr>
          </w:p>
        </w:tc>
        <w:tc>
          <w:tcPr>
            <w:tcW w:w="1763" w:type="dxa"/>
            <w:vAlign w:val="center"/>
          </w:tcPr>
          <w:p w14:paraId="769AD9E9">
            <w:pPr>
              <w:jc w:val="center"/>
              <w:rPr>
                <w:rFonts w:hint="eastAsia" w:ascii="宋体" w:hAnsi="宋体"/>
                <w:color w:val="000000" w:themeColor="text1"/>
                <w:highlight w:val="none"/>
                <w:u w:val="single"/>
                <w14:textFill>
                  <w14:solidFill>
                    <w14:schemeClr w14:val="tx1"/>
                  </w14:solidFill>
                </w14:textFill>
              </w:rPr>
            </w:pPr>
          </w:p>
        </w:tc>
      </w:tr>
      <w:tr w14:paraId="7396E1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870" w:hRule="atLeast"/>
          <w:jc w:val="center"/>
        </w:trPr>
        <w:tc>
          <w:tcPr>
            <w:tcW w:w="1022" w:type="dxa"/>
            <w:vAlign w:val="center"/>
          </w:tcPr>
          <w:p w14:paraId="677E950C">
            <w:pPr>
              <w:jc w:val="center"/>
              <w:rPr>
                <w:rFonts w:hint="eastAsia" w:ascii="宋体" w:hAnsi="宋体"/>
                <w:color w:val="000000" w:themeColor="text1"/>
                <w:highlight w:val="none"/>
                <w14:textFill>
                  <w14:solidFill>
                    <w14:schemeClr w14:val="tx1"/>
                  </w14:solidFill>
                </w14:textFill>
              </w:rPr>
            </w:pPr>
          </w:p>
        </w:tc>
        <w:tc>
          <w:tcPr>
            <w:tcW w:w="1588" w:type="dxa"/>
            <w:vAlign w:val="center"/>
          </w:tcPr>
          <w:p w14:paraId="48A88A8C">
            <w:pPr>
              <w:spacing w:line="360" w:lineRule="auto"/>
              <w:ind w:left="-109" w:leftChars="-52" w:right="-176" w:rightChars="-84"/>
              <w:jc w:val="center"/>
              <w:rPr>
                <w:rFonts w:hint="eastAsia" w:ascii="宋体" w:hAnsi="宋体"/>
                <w:color w:val="000000" w:themeColor="text1"/>
                <w:highlight w:val="none"/>
                <w14:textFill>
                  <w14:solidFill>
                    <w14:schemeClr w14:val="tx1"/>
                  </w14:solidFill>
                </w14:textFill>
              </w:rPr>
            </w:pPr>
          </w:p>
        </w:tc>
        <w:tc>
          <w:tcPr>
            <w:tcW w:w="1762" w:type="dxa"/>
            <w:vAlign w:val="center"/>
          </w:tcPr>
          <w:p w14:paraId="7F5A3D66">
            <w:pPr>
              <w:spacing w:line="360" w:lineRule="auto"/>
              <w:ind w:left="-109" w:leftChars="-52" w:right="-176" w:rightChars="-84"/>
              <w:jc w:val="center"/>
              <w:rPr>
                <w:rFonts w:hint="eastAsia" w:ascii="宋体" w:hAnsi="宋体"/>
                <w:color w:val="000000" w:themeColor="text1"/>
                <w:highlight w:val="none"/>
                <w14:textFill>
                  <w14:solidFill>
                    <w14:schemeClr w14:val="tx1"/>
                  </w14:solidFill>
                </w14:textFill>
              </w:rPr>
            </w:pPr>
          </w:p>
        </w:tc>
        <w:tc>
          <w:tcPr>
            <w:tcW w:w="1763" w:type="dxa"/>
            <w:vAlign w:val="center"/>
          </w:tcPr>
          <w:p w14:paraId="646D2832">
            <w:pPr>
              <w:ind w:left="-109" w:leftChars="-52"/>
              <w:jc w:val="center"/>
              <w:rPr>
                <w:rFonts w:hint="eastAsia" w:ascii="宋体" w:hAnsi="宋体"/>
                <w:color w:val="000000" w:themeColor="text1"/>
                <w:highlight w:val="none"/>
                <w:u w:val="single"/>
                <w14:textFill>
                  <w14:solidFill>
                    <w14:schemeClr w14:val="tx1"/>
                  </w14:solidFill>
                </w14:textFill>
              </w:rPr>
            </w:pPr>
          </w:p>
        </w:tc>
        <w:tc>
          <w:tcPr>
            <w:tcW w:w="1762" w:type="dxa"/>
            <w:vAlign w:val="center"/>
          </w:tcPr>
          <w:p w14:paraId="7DBEDCB2">
            <w:pPr>
              <w:ind w:firstLine="1155" w:firstLineChars="550"/>
              <w:rPr>
                <w:rFonts w:hint="eastAsia" w:ascii="宋体" w:hAnsi="宋体"/>
                <w:color w:val="000000" w:themeColor="text1"/>
                <w:highlight w:val="none"/>
                <w:u w:val="single"/>
                <w14:textFill>
                  <w14:solidFill>
                    <w14:schemeClr w14:val="tx1"/>
                  </w14:solidFill>
                </w14:textFill>
              </w:rPr>
            </w:pPr>
          </w:p>
        </w:tc>
        <w:tc>
          <w:tcPr>
            <w:tcW w:w="1763" w:type="dxa"/>
            <w:vAlign w:val="center"/>
          </w:tcPr>
          <w:p w14:paraId="37929240">
            <w:pPr>
              <w:ind w:firstLine="1155" w:firstLineChars="550"/>
              <w:rPr>
                <w:rFonts w:hint="eastAsia" w:ascii="宋体" w:hAnsi="宋体"/>
                <w:color w:val="000000" w:themeColor="text1"/>
                <w:highlight w:val="none"/>
                <w:u w:val="single"/>
                <w14:textFill>
                  <w14:solidFill>
                    <w14:schemeClr w14:val="tx1"/>
                  </w14:solidFill>
                </w14:textFill>
              </w:rPr>
            </w:pPr>
          </w:p>
        </w:tc>
      </w:tr>
      <w:tr w14:paraId="68E9B1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870" w:hRule="atLeast"/>
          <w:jc w:val="center"/>
        </w:trPr>
        <w:tc>
          <w:tcPr>
            <w:tcW w:w="1022" w:type="dxa"/>
            <w:vAlign w:val="center"/>
          </w:tcPr>
          <w:p w14:paraId="15E2D29B">
            <w:pPr>
              <w:jc w:val="center"/>
              <w:rPr>
                <w:rFonts w:hint="eastAsia" w:ascii="宋体" w:hAnsi="宋体"/>
                <w:color w:val="000000" w:themeColor="text1"/>
                <w:highlight w:val="none"/>
                <w14:textFill>
                  <w14:solidFill>
                    <w14:schemeClr w14:val="tx1"/>
                  </w14:solidFill>
                </w14:textFill>
              </w:rPr>
            </w:pPr>
          </w:p>
        </w:tc>
        <w:tc>
          <w:tcPr>
            <w:tcW w:w="1588" w:type="dxa"/>
            <w:vAlign w:val="center"/>
          </w:tcPr>
          <w:p w14:paraId="5FB04EBF">
            <w:pPr>
              <w:spacing w:line="360" w:lineRule="auto"/>
              <w:ind w:left="-109" w:leftChars="-52" w:right="-176" w:rightChars="-84"/>
              <w:jc w:val="center"/>
              <w:rPr>
                <w:rFonts w:hint="eastAsia" w:ascii="宋体" w:hAnsi="宋体"/>
                <w:color w:val="000000" w:themeColor="text1"/>
                <w:highlight w:val="none"/>
                <w14:textFill>
                  <w14:solidFill>
                    <w14:schemeClr w14:val="tx1"/>
                  </w14:solidFill>
                </w14:textFill>
              </w:rPr>
            </w:pPr>
          </w:p>
        </w:tc>
        <w:tc>
          <w:tcPr>
            <w:tcW w:w="1762" w:type="dxa"/>
            <w:vAlign w:val="center"/>
          </w:tcPr>
          <w:p w14:paraId="61D7DA11">
            <w:pPr>
              <w:spacing w:line="360" w:lineRule="auto"/>
              <w:ind w:left="-109" w:leftChars="-52" w:right="-176" w:rightChars="-84"/>
              <w:jc w:val="center"/>
              <w:rPr>
                <w:rFonts w:hint="eastAsia" w:ascii="宋体" w:hAnsi="宋体"/>
                <w:color w:val="000000" w:themeColor="text1"/>
                <w:highlight w:val="none"/>
                <w14:textFill>
                  <w14:solidFill>
                    <w14:schemeClr w14:val="tx1"/>
                  </w14:solidFill>
                </w14:textFill>
              </w:rPr>
            </w:pPr>
          </w:p>
        </w:tc>
        <w:tc>
          <w:tcPr>
            <w:tcW w:w="1763" w:type="dxa"/>
            <w:vAlign w:val="center"/>
          </w:tcPr>
          <w:p w14:paraId="63D7632B">
            <w:pPr>
              <w:ind w:left="-109" w:leftChars="-52"/>
              <w:jc w:val="center"/>
              <w:rPr>
                <w:rFonts w:hint="eastAsia" w:ascii="宋体" w:hAnsi="宋体"/>
                <w:color w:val="000000" w:themeColor="text1"/>
                <w:highlight w:val="none"/>
                <w:u w:val="single"/>
                <w14:textFill>
                  <w14:solidFill>
                    <w14:schemeClr w14:val="tx1"/>
                  </w14:solidFill>
                </w14:textFill>
              </w:rPr>
            </w:pPr>
          </w:p>
        </w:tc>
        <w:tc>
          <w:tcPr>
            <w:tcW w:w="1762" w:type="dxa"/>
            <w:vAlign w:val="center"/>
          </w:tcPr>
          <w:p w14:paraId="7298AB86">
            <w:pPr>
              <w:ind w:firstLine="1155" w:firstLineChars="550"/>
              <w:rPr>
                <w:rFonts w:hint="eastAsia" w:ascii="宋体" w:hAnsi="宋体"/>
                <w:color w:val="000000" w:themeColor="text1"/>
                <w:highlight w:val="none"/>
                <w:u w:val="single"/>
                <w14:textFill>
                  <w14:solidFill>
                    <w14:schemeClr w14:val="tx1"/>
                  </w14:solidFill>
                </w14:textFill>
              </w:rPr>
            </w:pPr>
          </w:p>
        </w:tc>
        <w:tc>
          <w:tcPr>
            <w:tcW w:w="1763" w:type="dxa"/>
            <w:vAlign w:val="center"/>
          </w:tcPr>
          <w:p w14:paraId="158D36EF">
            <w:pPr>
              <w:ind w:firstLine="1155" w:firstLineChars="550"/>
              <w:rPr>
                <w:rFonts w:hint="eastAsia" w:ascii="宋体" w:hAnsi="宋体"/>
                <w:color w:val="000000" w:themeColor="text1"/>
                <w:highlight w:val="none"/>
                <w:u w:val="single"/>
                <w14:textFill>
                  <w14:solidFill>
                    <w14:schemeClr w14:val="tx1"/>
                  </w14:solidFill>
                </w14:textFill>
              </w:rPr>
            </w:pPr>
          </w:p>
        </w:tc>
      </w:tr>
      <w:tr w14:paraId="70EC26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863" w:hRule="atLeast"/>
          <w:jc w:val="center"/>
        </w:trPr>
        <w:tc>
          <w:tcPr>
            <w:tcW w:w="1022" w:type="dxa"/>
            <w:vAlign w:val="center"/>
          </w:tcPr>
          <w:p w14:paraId="1D3835D1">
            <w:pPr>
              <w:jc w:val="center"/>
              <w:rPr>
                <w:rFonts w:hint="eastAsia" w:ascii="宋体" w:hAnsi="宋体"/>
                <w:color w:val="000000" w:themeColor="text1"/>
                <w:highlight w:val="none"/>
                <w14:textFill>
                  <w14:solidFill>
                    <w14:schemeClr w14:val="tx1"/>
                  </w14:solidFill>
                </w14:textFill>
              </w:rPr>
            </w:pPr>
          </w:p>
        </w:tc>
        <w:tc>
          <w:tcPr>
            <w:tcW w:w="1588" w:type="dxa"/>
            <w:vAlign w:val="center"/>
          </w:tcPr>
          <w:p w14:paraId="2564ABEA">
            <w:pPr>
              <w:jc w:val="center"/>
              <w:rPr>
                <w:rFonts w:hint="eastAsia" w:ascii="宋体" w:hAnsi="宋体"/>
                <w:color w:val="000000" w:themeColor="text1"/>
                <w:highlight w:val="none"/>
                <w14:textFill>
                  <w14:solidFill>
                    <w14:schemeClr w14:val="tx1"/>
                  </w14:solidFill>
                </w14:textFill>
              </w:rPr>
            </w:pPr>
          </w:p>
        </w:tc>
        <w:tc>
          <w:tcPr>
            <w:tcW w:w="1762" w:type="dxa"/>
            <w:vAlign w:val="center"/>
          </w:tcPr>
          <w:p w14:paraId="675CC17D">
            <w:pPr>
              <w:jc w:val="center"/>
              <w:rPr>
                <w:rFonts w:hint="eastAsia" w:ascii="宋体" w:hAnsi="宋体"/>
                <w:color w:val="000000" w:themeColor="text1"/>
                <w:highlight w:val="none"/>
                <w14:textFill>
                  <w14:solidFill>
                    <w14:schemeClr w14:val="tx1"/>
                  </w14:solidFill>
                </w14:textFill>
              </w:rPr>
            </w:pPr>
          </w:p>
        </w:tc>
        <w:tc>
          <w:tcPr>
            <w:tcW w:w="1763" w:type="dxa"/>
            <w:vAlign w:val="center"/>
          </w:tcPr>
          <w:p w14:paraId="38B02637">
            <w:pPr>
              <w:rPr>
                <w:rFonts w:hint="eastAsia" w:ascii="宋体" w:hAnsi="宋体"/>
                <w:color w:val="000000" w:themeColor="text1"/>
                <w:highlight w:val="none"/>
                <w14:textFill>
                  <w14:solidFill>
                    <w14:schemeClr w14:val="tx1"/>
                  </w14:solidFill>
                </w14:textFill>
              </w:rPr>
            </w:pPr>
          </w:p>
        </w:tc>
        <w:tc>
          <w:tcPr>
            <w:tcW w:w="1762" w:type="dxa"/>
            <w:vAlign w:val="center"/>
          </w:tcPr>
          <w:p w14:paraId="1CB96084">
            <w:pPr>
              <w:rPr>
                <w:rFonts w:hint="eastAsia" w:ascii="宋体" w:hAnsi="宋体"/>
                <w:color w:val="000000" w:themeColor="text1"/>
                <w:highlight w:val="none"/>
                <w14:textFill>
                  <w14:solidFill>
                    <w14:schemeClr w14:val="tx1"/>
                  </w14:solidFill>
                </w14:textFill>
              </w:rPr>
            </w:pPr>
          </w:p>
        </w:tc>
        <w:tc>
          <w:tcPr>
            <w:tcW w:w="1763" w:type="dxa"/>
            <w:vAlign w:val="center"/>
          </w:tcPr>
          <w:p w14:paraId="6E09ED8D">
            <w:pPr>
              <w:rPr>
                <w:rFonts w:hint="eastAsia" w:ascii="宋体" w:hAnsi="宋体"/>
                <w:color w:val="000000" w:themeColor="text1"/>
                <w:highlight w:val="none"/>
                <w14:textFill>
                  <w14:solidFill>
                    <w14:schemeClr w14:val="tx1"/>
                  </w14:solidFill>
                </w14:textFill>
              </w:rPr>
            </w:pPr>
          </w:p>
        </w:tc>
      </w:tr>
      <w:tr w14:paraId="2EED878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917" w:hRule="atLeast"/>
          <w:jc w:val="center"/>
        </w:trPr>
        <w:tc>
          <w:tcPr>
            <w:tcW w:w="1022" w:type="dxa"/>
            <w:vAlign w:val="center"/>
          </w:tcPr>
          <w:p w14:paraId="6F96BAEF">
            <w:pPr>
              <w:jc w:val="center"/>
              <w:rPr>
                <w:rFonts w:hint="eastAsia" w:ascii="宋体" w:hAnsi="宋体"/>
                <w:color w:val="000000" w:themeColor="text1"/>
                <w:highlight w:val="none"/>
                <w14:textFill>
                  <w14:solidFill>
                    <w14:schemeClr w14:val="tx1"/>
                  </w14:solidFill>
                </w14:textFill>
              </w:rPr>
            </w:pPr>
          </w:p>
        </w:tc>
        <w:tc>
          <w:tcPr>
            <w:tcW w:w="1588" w:type="dxa"/>
            <w:vAlign w:val="center"/>
          </w:tcPr>
          <w:p w14:paraId="387A9B5F">
            <w:pPr>
              <w:jc w:val="center"/>
              <w:rPr>
                <w:rFonts w:hint="eastAsia" w:ascii="宋体" w:hAnsi="宋体"/>
                <w:color w:val="000000" w:themeColor="text1"/>
                <w:highlight w:val="none"/>
                <w14:textFill>
                  <w14:solidFill>
                    <w14:schemeClr w14:val="tx1"/>
                  </w14:solidFill>
                </w14:textFill>
              </w:rPr>
            </w:pPr>
          </w:p>
        </w:tc>
        <w:tc>
          <w:tcPr>
            <w:tcW w:w="1762" w:type="dxa"/>
            <w:vAlign w:val="center"/>
          </w:tcPr>
          <w:p w14:paraId="349A044F">
            <w:pPr>
              <w:jc w:val="center"/>
              <w:rPr>
                <w:rFonts w:hint="eastAsia" w:ascii="宋体" w:hAnsi="宋体"/>
                <w:color w:val="000000" w:themeColor="text1"/>
                <w:highlight w:val="none"/>
                <w14:textFill>
                  <w14:solidFill>
                    <w14:schemeClr w14:val="tx1"/>
                  </w14:solidFill>
                </w14:textFill>
              </w:rPr>
            </w:pPr>
          </w:p>
        </w:tc>
        <w:tc>
          <w:tcPr>
            <w:tcW w:w="1763" w:type="dxa"/>
            <w:vAlign w:val="center"/>
          </w:tcPr>
          <w:p w14:paraId="7EE425E8">
            <w:pPr>
              <w:rPr>
                <w:rFonts w:hint="eastAsia" w:ascii="宋体" w:hAnsi="宋体"/>
                <w:color w:val="000000" w:themeColor="text1"/>
                <w:highlight w:val="none"/>
                <w14:textFill>
                  <w14:solidFill>
                    <w14:schemeClr w14:val="tx1"/>
                  </w14:solidFill>
                </w14:textFill>
              </w:rPr>
            </w:pPr>
          </w:p>
        </w:tc>
        <w:tc>
          <w:tcPr>
            <w:tcW w:w="1762" w:type="dxa"/>
            <w:vAlign w:val="center"/>
          </w:tcPr>
          <w:p w14:paraId="564303F8">
            <w:pPr>
              <w:rPr>
                <w:rFonts w:hint="eastAsia" w:ascii="宋体" w:hAnsi="宋体"/>
                <w:color w:val="000000" w:themeColor="text1"/>
                <w:highlight w:val="none"/>
                <w14:textFill>
                  <w14:solidFill>
                    <w14:schemeClr w14:val="tx1"/>
                  </w14:solidFill>
                </w14:textFill>
              </w:rPr>
            </w:pPr>
          </w:p>
        </w:tc>
        <w:tc>
          <w:tcPr>
            <w:tcW w:w="1763" w:type="dxa"/>
            <w:vAlign w:val="center"/>
          </w:tcPr>
          <w:p w14:paraId="6F6D6888">
            <w:pPr>
              <w:rPr>
                <w:rFonts w:hint="eastAsia" w:ascii="宋体" w:hAnsi="宋体"/>
                <w:color w:val="000000" w:themeColor="text1"/>
                <w:highlight w:val="none"/>
                <w14:textFill>
                  <w14:solidFill>
                    <w14:schemeClr w14:val="tx1"/>
                  </w14:solidFill>
                </w14:textFill>
              </w:rPr>
            </w:pPr>
          </w:p>
        </w:tc>
      </w:tr>
    </w:tbl>
    <w:p w14:paraId="6685BBCF">
      <w:pPr>
        <w:ind w:left="-315" w:leftChars="-150" w:right="-378" w:rightChars="-180"/>
        <w:rPr>
          <w:rFonts w:hint="eastAsia" w:ascii="宋体" w:hAnsi="宋体"/>
          <w:b/>
          <w:bCs/>
          <w:color w:val="000000" w:themeColor="text1"/>
          <w:sz w:val="24"/>
          <w:szCs w:val="24"/>
          <w:highlight w:val="none"/>
          <w14:textFill>
            <w14:solidFill>
              <w14:schemeClr w14:val="tx1"/>
            </w14:solidFill>
          </w14:textFill>
        </w:rPr>
      </w:pPr>
    </w:p>
    <w:p w14:paraId="1659C990">
      <w:pPr>
        <w:ind w:left="-315" w:leftChars="-150" w:right="-378" w:rightChars="-1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注：</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递交的技术规格与招标文件的技术规格的要求有不同时，应逐条列在技术偏离表中。</w:t>
      </w:r>
    </w:p>
    <w:p w14:paraId="28B17479">
      <w:pPr>
        <w:ind w:left="-315" w:leftChars="-150" w:right="-378" w:rightChars="-180"/>
        <w:rPr>
          <w:rFonts w:hint="eastAsia" w:ascii="宋体" w:hAnsi="宋体"/>
          <w:color w:val="000000" w:themeColor="text1"/>
          <w:sz w:val="24"/>
          <w:szCs w:val="24"/>
          <w:highlight w:val="none"/>
          <w14:textFill>
            <w14:solidFill>
              <w14:schemeClr w14:val="tx1"/>
            </w14:solidFill>
          </w14:textFill>
        </w:rPr>
      </w:pPr>
    </w:p>
    <w:p w14:paraId="769E8783">
      <w:pPr>
        <w:ind w:left="-315" w:leftChars="-150" w:right="-378" w:rightChars="-180"/>
        <w:rPr>
          <w:rFonts w:hint="eastAsia" w:ascii="宋体" w:hAnsi="宋体"/>
          <w:color w:val="000000" w:themeColor="text1"/>
          <w:sz w:val="24"/>
          <w:szCs w:val="24"/>
          <w:highlight w:val="none"/>
          <w14:textFill>
            <w14:solidFill>
              <w14:schemeClr w14:val="tx1"/>
            </w14:solidFill>
          </w14:textFill>
        </w:rPr>
      </w:pPr>
    </w:p>
    <w:p w14:paraId="43071FE7">
      <w:pPr>
        <w:ind w:left="-315" w:leftChars="-150" w:right="-378" w:rightChars="-180"/>
        <w:rPr>
          <w:rFonts w:hint="eastAsia" w:ascii="宋体" w:hAnsi="宋体"/>
          <w:color w:val="000000" w:themeColor="text1"/>
          <w:sz w:val="24"/>
          <w:szCs w:val="24"/>
          <w:highlight w:val="none"/>
          <w14:textFill>
            <w14:solidFill>
              <w14:schemeClr w14:val="tx1"/>
            </w14:solidFill>
          </w14:textFill>
        </w:rPr>
      </w:pPr>
    </w:p>
    <w:p w14:paraId="705140B8">
      <w:pPr>
        <w:ind w:left="-315" w:leftChars="-150" w:right="-378" w:rightChars="-180"/>
        <w:rPr>
          <w:rFonts w:hint="eastAsia" w:ascii="宋体" w:hAnsi="宋体"/>
          <w:color w:val="000000" w:themeColor="text1"/>
          <w:sz w:val="24"/>
          <w:szCs w:val="24"/>
          <w:highlight w:val="none"/>
          <w14:textFill>
            <w14:solidFill>
              <w14:schemeClr w14:val="tx1"/>
            </w14:solidFill>
          </w14:textFill>
        </w:rPr>
      </w:pPr>
    </w:p>
    <w:p w14:paraId="32A717CD">
      <w:pPr>
        <w:jc w:val="center"/>
        <w:rPr>
          <w:rFonts w:hint="eastAsia" w:ascii="宋体" w:hAnsi="宋体"/>
          <w:color w:val="000000" w:themeColor="text1"/>
          <w:highlight w:val="none"/>
          <w14:textFill>
            <w14:solidFill>
              <w14:schemeClr w14:val="tx1"/>
            </w14:solidFill>
          </w14:textFill>
        </w:rPr>
      </w:pPr>
    </w:p>
    <w:p w14:paraId="4AE81752">
      <w:pPr>
        <w:jc w:val="center"/>
        <w:rPr>
          <w:rFonts w:hint="eastAsia" w:ascii="宋体" w:hAnsi="宋体"/>
          <w:color w:val="000000" w:themeColor="text1"/>
          <w:highlight w:val="none"/>
          <w14:textFill>
            <w14:solidFill>
              <w14:schemeClr w14:val="tx1"/>
            </w14:solidFill>
          </w14:textFill>
        </w:rPr>
      </w:pPr>
    </w:p>
    <w:p w14:paraId="364F398A">
      <w:pPr>
        <w:jc w:val="center"/>
        <w:rPr>
          <w:rFonts w:hint="eastAsia" w:ascii="宋体" w:hAnsi="宋体"/>
          <w:color w:val="000000" w:themeColor="text1"/>
          <w:highlight w:val="none"/>
          <w14:textFill>
            <w14:solidFill>
              <w14:schemeClr w14:val="tx1"/>
            </w14:solidFill>
          </w14:textFill>
        </w:rPr>
      </w:pPr>
    </w:p>
    <w:p w14:paraId="7B109173">
      <w:pPr>
        <w:jc w:val="center"/>
        <w:rPr>
          <w:rFonts w:hint="eastAsia" w:ascii="宋体" w:hAnsi="宋体"/>
          <w:color w:val="000000" w:themeColor="text1"/>
          <w:highlight w:val="none"/>
          <w14:textFill>
            <w14:solidFill>
              <w14:schemeClr w14:val="tx1"/>
            </w14:solidFill>
          </w14:textFill>
        </w:rPr>
      </w:pPr>
    </w:p>
    <w:p w14:paraId="7D8B5F8C">
      <w:pPr>
        <w:spacing w:line="480" w:lineRule="auto"/>
        <w:ind w:right="277" w:rightChars="132" w:firstLine="2880" w:firstLineChars="1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（电子印章）</w:t>
      </w:r>
    </w:p>
    <w:p w14:paraId="104F7D17">
      <w:pPr>
        <w:spacing w:line="480" w:lineRule="auto"/>
        <w:ind w:right="277" w:rightChars="132" w:firstLine="2880" w:firstLineChars="1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（电子签章）</w:t>
      </w:r>
    </w:p>
    <w:p w14:paraId="04A57D4D">
      <w:pPr>
        <w:spacing w:line="600" w:lineRule="exact"/>
        <w:ind w:firstLine="2880" w:firstLineChars="1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71C2F306">
      <w:pPr>
        <w:ind w:firstLine="2164" w:firstLineChars="902"/>
        <w:rPr>
          <w:rFonts w:hint="eastAsia" w:ascii="宋体" w:hAnsi="宋体"/>
          <w:color w:val="000000" w:themeColor="text1"/>
          <w:sz w:val="24"/>
          <w:szCs w:val="24"/>
          <w:highlight w:val="none"/>
          <w14:textFill>
            <w14:solidFill>
              <w14:schemeClr w14:val="tx1"/>
            </w14:solidFill>
          </w14:textFill>
        </w:rPr>
      </w:pPr>
    </w:p>
    <w:p w14:paraId="59105282">
      <w:pPr>
        <w:jc w:val="center"/>
        <w:rPr>
          <w:rFonts w:hint="eastAsia" w:ascii="宋体" w:hAnsi="宋体"/>
          <w:color w:val="000000" w:themeColor="text1"/>
          <w:sz w:val="24"/>
          <w:szCs w:val="24"/>
          <w:highlight w:val="none"/>
          <w14:textFill>
            <w14:solidFill>
              <w14:schemeClr w14:val="tx1"/>
            </w14:solidFill>
          </w14:textFill>
        </w:rPr>
      </w:pPr>
    </w:p>
    <w:p w14:paraId="1E624F39">
      <w:pPr>
        <w:jc w:val="center"/>
        <w:rPr>
          <w:rFonts w:hint="eastAsia"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商务偏离表</w:t>
      </w:r>
    </w:p>
    <w:tbl>
      <w:tblPr>
        <w:tblStyle w:val="22"/>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041"/>
        <w:gridCol w:w="3024"/>
        <w:gridCol w:w="3390"/>
        <w:gridCol w:w="1875"/>
      </w:tblGrid>
      <w:tr w14:paraId="2AC489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972" w:hRule="atLeast"/>
          <w:jc w:val="center"/>
        </w:trPr>
        <w:tc>
          <w:tcPr>
            <w:tcW w:w="1041" w:type="dxa"/>
            <w:vAlign w:val="center"/>
          </w:tcPr>
          <w:p w14:paraId="3B7F64E6">
            <w:pPr>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序号</w:t>
            </w:r>
          </w:p>
        </w:tc>
        <w:tc>
          <w:tcPr>
            <w:tcW w:w="3024" w:type="dxa"/>
            <w:vAlign w:val="center"/>
          </w:tcPr>
          <w:p w14:paraId="550D1079">
            <w:pPr>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招标文件的商务条款</w:t>
            </w:r>
          </w:p>
        </w:tc>
        <w:tc>
          <w:tcPr>
            <w:tcW w:w="3390" w:type="dxa"/>
            <w:vAlign w:val="center"/>
          </w:tcPr>
          <w:p w14:paraId="0A541E48">
            <w:pPr>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投标文件的商务条款</w:t>
            </w:r>
          </w:p>
        </w:tc>
        <w:tc>
          <w:tcPr>
            <w:tcW w:w="1875" w:type="dxa"/>
            <w:vAlign w:val="center"/>
          </w:tcPr>
          <w:p w14:paraId="18BCC63D">
            <w:pPr>
              <w:jc w:val="center"/>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说明</w:t>
            </w:r>
          </w:p>
        </w:tc>
      </w:tr>
      <w:tr w14:paraId="433723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917" w:hRule="atLeast"/>
          <w:jc w:val="center"/>
        </w:trPr>
        <w:tc>
          <w:tcPr>
            <w:tcW w:w="1041" w:type="dxa"/>
            <w:vAlign w:val="center"/>
          </w:tcPr>
          <w:p w14:paraId="5A1A7E1C">
            <w:pPr>
              <w:jc w:val="center"/>
              <w:rPr>
                <w:rFonts w:hint="eastAsia" w:ascii="宋体" w:hAnsi="宋体"/>
                <w:color w:val="000000" w:themeColor="text1"/>
                <w:highlight w:val="none"/>
                <w14:textFill>
                  <w14:solidFill>
                    <w14:schemeClr w14:val="tx1"/>
                  </w14:solidFill>
                </w14:textFill>
              </w:rPr>
            </w:pPr>
          </w:p>
        </w:tc>
        <w:tc>
          <w:tcPr>
            <w:tcW w:w="3024" w:type="dxa"/>
            <w:vAlign w:val="center"/>
          </w:tcPr>
          <w:p w14:paraId="642FC7E4">
            <w:pPr>
              <w:spacing w:line="360" w:lineRule="auto"/>
              <w:rPr>
                <w:rFonts w:hint="eastAsia" w:ascii="宋体" w:hAnsi="宋体"/>
                <w:color w:val="000000" w:themeColor="text1"/>
                <w:highlight w:val="none"/>
                <w14:textFill>
                  <w14:solidFill>
                    <w14:schemeClr w14:val="tx1"/>
                  </w14:solidFill>
                </w14:textFill>
              </w:rPr>
            </w:pPr>
          </w:p>
        </w:tc>
        <w:tc>
          <w:tcPr>
            <w:tcW w:w="3390" w:type="dxa"/>
            <w:vAlign w:val="center"/>
          </w:tcPr>
          <w:p w14:paraId="5CA70C35">
            <w:pPr>
              <w:jc w:val="center"/>
              <w:rPr>
                <w:rFonts w:hint="eastAsia" w:ascii="宋体" w:hAnsi="宋体"/>
                <w:color w:val="000000" w:themeColor="text1"/>
                <w:highlight w:val="none"/>
                <w:u w:val="single"/>
                <w14:textFill>
                  <w14:solidFill>
                    <w14:schemeClr w14:val="tx1"/>
                  </w14:solidFill>
                </w14:textFill>
              </w:rPr>
            </w:pPr>
          </w:p>
        </w:tc>
        <w:tc>
          <w:tcPr>
            <w:tcW w:w="1875" w:type="dxa"/>
            <w:vAlign w:val="center"/>
          </w:tcPr>
          <w:p w14:paraId="480B256C">
            <w:pPr>
              <w:jc w:val="center"/>
              <w:rPr>
                <w:rFonts w:hint="eastAsia" w:ascii="宋体" w:hAnsi="宋体"/>
                <w:color w:val="000000" w:themeColor="text1"/>
                <w:highlight w:val="none"/>
                <w:u w:val="single"/>
                <w14:textFill>
                  <w14:solidFill>
                    <w14:schemeClr w14:val="tx1"/>
                  </w14:solidFill>
                </w14:textFill>
              </w:rPr>
            </w:pPr>
          </w:p>
        </w:tc>
      </w:tr>
      <w:tr w14:paraId="646F5E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917" w:hRule="atLeast"/>
          <w:jc w:val="center"/>
        </w:trPr>
        <w:tc>
          <w:tcPr>
            <w:tcW w:w="1041" w:type="dxa"/>
            <w:vAlign w:val="center"/>
          </w:tcPr>
          <w:p w14:paraId="1CDCB39D">
            <w:pPr>
              <w:jc w:val="center"/>
              <w:rPr>
                <w:rFonts w:hint="eastAsia" w:ascii="宋体" w:hAnsi="宋体"/>
                <w:color w:val="000000" w:themeColor="text1"/>
                <w:highlight w:val="none"/>
                <w14:textFill>
                  <w14:solidFill>
                    <w14:schemeClr w14:val="tx1"/>
                  </w14:solidFill>
                </w14:textFill>
              </w:rPr>
            </w:pPr>
          </w:p>
        </w:tc>
        <w:tc>
          <w:tcPr>
            <w:tcW w:w="3024" w:type="dxa"/>
            <w:vAlign w:val="center"/>
          </w:tcPr>
          <w:p w14:paraId="15B3E75E">
            <w:pPr>
              <w:spacing w:line="360" w:lineRule="auto"/>
              <w:jc w:val="center"/>
              <w:rPr>
                <w:rFonts w:hint="eastAsia" w:ascii="宋体" w:hAnsi="宋体"/>
                <w:color w:val="000000" w:themeColor="text1"/>
                <w:highlight w:val="none"/>
                <w14:textFill>
                  <w14:solidFill>
                    <w14:schemeClr w14:val="tx1"/>
                  </w14:solidFill>
                </w14:textFill>
              </w:rPr>
            </w:pPr>
          </w:p>
        </w:tc>
        <w:tc>
          <w:tcPr>
            <w:tcW w:w="3390" w:type="dxa"/>
            <w:vAlign w:val="center"/>
          </w:tcPr>
          <w:p w14:paraId="183665C5">
            <w:pPr>
              <w:rPr>
                <w:rFonts w:hint="eastAsia" w:ascii="宋体" w:hAnsi="宋体"/>
                <w:color w:val="000000" w:themeColor="text1"/>
                <w:highlight w:val="none"/>
                <w:u w:val="single"/>
                <w14:textFill>
                  <w14:solidFill>
                    <w14:schemeClr w14:val="tx1"/>
                  </w14:solidFill>
                </w14:textFill>
              </w:rPr>
            </w:pPr>
          </w:p>
        </w:tc>
        <w:tc>
          <w:tcPr>
            <w:tcW w:w="1875" w:type="dxa"/>
            <w:vAlign w:val="center"/>
          </w:tcPr>
          <w:p w14:paraId="3C6A1520">
            <w:pPr>
              <w:rPr>
                <w:rFonts w:hint="eastAsia" w:ascii="宋体" w:hAnsi="宋体"/>
                <w:color w:val="000000" w:themeColor="text1"/>
                <w:highlight w:val="none"/>
                <w:u w:val="single"/>
                <w14:textFill>
                  <w14:solidFill>
                    <w14:schemeClr w14:val="tx1"/>
                  </w14:solidFill>
                </w14:textFill>
              </w:rPr>
            </w:pPr>
          </w:p>
        </w:tc>
      </w:tr>
      <w:tr w14:paraId="3075BC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917" w:hRule="atLeast"/>
          <w:jc w:val="center"/>
        </w:trPr>
        <w:tc>
          <w:tcPr>
            <w:tcW w:w="1041" w:type="dxa"/>
            <w:vAlign w:val="center"/>
          </w:tcPr>
          <w:p w14:paraId="0A953842">
            <w:pPr>
              <w:jc w:val="center"/>
              <w:rPr>
                <w:rFonts w:hint="eastAsia" w:ascii="宋体" w:hAnsi="宋体"/>
                <w:color w:val="000000" w:themeColor="text1"/>
                <w:highlight w:val="none"/>
                <w14:textFill>
                  <w14:solidFill>
                    <w14:schemeClr w14:val="tx1"/>
                  </w14:solidFill>
                </w14:textFill>
              </w:rPr>
            </w:pPr>
          </w:p>
        </w:tc>
        <w:tc>
          <w:tcPr>
            <w:tcW w:w="3024" w:type="dxa"/>
            <w:vAlign w:val="center"/>
          </w:tcPr>
          <w:p w14:paraId="59B125CC">
            <w:pPr>
              <w:spacing w:line="360" w:lineRule="auto"/>
              <w:jc w:val="center"/>
              <w:rPr>
                <w:rFonts w:hint="eastAsia" w:ascii="宋体" w:hAnsi="宋体"/>
                <w:color w:val="000000" w:themeColor="text1"/>
                <w:highlight w:val="none"/>
                <w14:textFill>
                  <w14:solidFill>
                    <w14:schemeClr w14:val="tx1"/>
                  </w14:solidFill>
                </w14:textFill>
              </w:rPr>
            </w:pPr>
          </w:p>
        </w:tc>
        <w:tc>
          <w:tcPr>
            <w:tcW w:w="3390" w:type="dxa"/>
            <w:vAlign w:val="center"/>
          </w:tcPr>
          <w:p w14:paraId="3C363FFC">
            <w:pPr>
              <w:rPr>
                <w:rFonts w:hint="eastAsia" w:ascii="宋体" w:hAnsi="宋体"/>
                <w:color w:val="000000" w:themeColor="text1"/>
                <w:highlight w:val="none"/>
                <w:u w:val="single"/>
                <w14:textFill>
                  <w14:solidFill>
                    <w14:schemeClr w14:val="tx1"/>
                  </w14:solidFill>
                </w14:textFill>
              </w:rPr>
            </w:pPr>
          </w:p>
        </w:tc>
        <w:tc>
          <w:tcPr>
            <w:tcW w:w="1875" w:type="dxa"/>
            <w:vAlign w:val="center"/>
          </w:tcPr>
          <w:p w14:paraId="508B9D4D">
            <w:pPr>
              <w:rPr>
                <w:rFonts w:hint="eastAsia" w:ascii="宋体" w:hAnsi="宋体"/>
                <w:color w:val="000000" w:themeColor="text1"/>
                <w:highlight w:val="none"/>
                <w:u w:val="single"/>
                <w14:textFill>
                  <w14:solidFill>
                    <w14:schemeClr w14:val="tx1"/>
                  </w14:solidFill>
                </w14:textFill>
              </w:rPr>
            </w:pPr>
          </w:p>
        </w:tc>
      </w:tr>
      <w:tr w14:paraId="2B1606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909" w:hRule="atLeast"/>
          <w:jc w:val="center"/>
        </w:trPr>
        <w:tc>
          <w:tcPr>
            <w:tcW w:w="1041" w:type="dxa"/>
            <w:vAlign w:val="center"/>
          </w:tcPr>
          <w:p w14:paraId="42D71EFC">
            <w:pPr>
              <w:jc w:val="center"/>
              <w:rPr>
                <w:rFonts w:hint="eastAsia" w:ascii="宋体" w:hAnsi="宋体"/>
                <w:color w:val="000000" w:themeColor="text1"/>
                <w:highlight w:val="none"/>
                <w14:textFill>
                  <w14:solidFill>
                    <w14:schemeClr w14:val="tx1"/>
                  </w14:solidFill>
                </w14:textFill>
              </w:rPr>
            </w:pPr>
          </w:p>
        </w:tc>
        <w:tc>
          <w:tcPr>
            <w:tcW w:w="3024" w:type="dxa"/>
            <w:vAlign w:val="center"/>
          </w:tcPr>
          <w:p w14:paraId="0E336C15">
            <w:pPr>
              <w:jc w:val="center"/>
              <w:rPr>
                <w:rFonts w:hint="eastAsia" w:ascii="宋体" w:hAnsi="宋体"/>
                <w:color w:val="000000" w:themeColor="text1"/>
                <w:highlight w:val="none"/>
                <w14:textFill>
                  <w14:solidFill>
                    <w14:schemeClr w14:val="tx1"/>
                  </w14:solidFill>
                </w14:textFill>
              </w:rPr>
            </w:pPr>
          </w:p>
        </w:tc>
        <w:tc>
          <w:tcPr>
            <w:tcW w:w="3390" w:type="dxa"/>
            <w:vAlign w:val="center"/>
          </w:tcPr>
          <w:p w14:paraId="6B777BEC">
            <w:pPr>
              <w:rPr>
                <w:rFonts w:hint="eastAsia" w:ascii="宋体" w:hAnsi="宋体"/>
                <w:color w:val="000000" w:themeColor="text1"/>
                <w:highlight w:val="none"/>
                <w14:textFill>
                  <w14:solidFill>
                    <w14:schemeClr w14:val="tx1"/>
                  </w14:solidFill>
                </w14:textFill>
              </w:rPr>
            </w:pPr>
          </w:p>
        </w:tc>
        <w:tc>
          <w:tcPr>
            <w:tcW w:w="1875" w:type="dxa"/>
            <w:vAlign w:val="center"/>
          </w:tcPr>
          <w:p w14:paraId="570755FD">
            <w:pPr>
              <w:rPr>
                <w:rFonts w:hint="eastAsia" w:ascii="宋体" w:hAnsi="宋体"/>
                <w:color w:val="000000" w:themeColor="text1"/>
                <w:highlight w:val="none"/>
                <w14:textFill>
                  <w14:solidFill>
                    <w14:schemeClr w14:val="tx1"/>
                  </w14:solidFill>
                </w14:textFill>
              </w:rPr>
            </w:pPr>
          </w:p>
        </w:tc>
      </w:tr>
      <w:tr w14:paraId="13B9026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1005" w:hRule="atLeast"/>
          <w:jc w:val="center"/>
        </w:trPr>
        <w:tc>
          <w:tcPr>
            <w:tcW w:w="1041" w:type="dxa"/>
            <w:vAlign w:val="center"/>
          </w:tcPr>
          <w:p w14:paraId="3DF003A2">
            <w:pPr>
              <w:jc w:val="center"/>
              <w:rPr>
                <w:rFonts w:hint="eastAsia" w:ascii="宋体" w:hAnsi="宋体"/>
                <w:color w:val="000000" w:themeColor="text1"/>
                <w:highlight w:val="none"/>
                <w14:textFill>
                  <w14:solidFill>
                    <w14:schemeClr w14:val="tx1"/>
                  </w14:solidFill>
                </w14:textFill>
              </w:rPr>
            </w:pPr>
          </w:p>
        </w:tc>
        <w:tc>
          <w:tcPr>
            <w:tcW w:w="3024" w:type="dxa"/>
            <w:vAlign w:val="center"/>
          </w:tcPr>
          <w:p w14:paraId="3401F6F1">
            <w:pPr>
              <w:jc w:val="center"/>
              <w:rPr>
                <w:rFonts w:hint="eastAsia" w:ascii="宋体" w:hAnsi="宋体"/>
                <w:color w:val="000000" w:themeColor="text1"/>
                <w:highlight w:val="none"/>
                <w14:textFill>
                  <w14:solidFill>
                    <w14:schemeClr w14:val="tx1"/>
                  </w14:solidFill>
                </w14:textFill>
              </w:rPr>
            </w:pPr>
          </w:p>
        </w:tc>
        <w:tc>
          <w:tcPr>
            <w:tcW w:w="3390" w:type="dxa"/>
            <w:vAlign w:val="center"/>
          </w:tcPr>
          <w:p w14:paraId="4BC4DB9B">
            <w:pPr>
              <w:rPr>
                <w:rFonts w:hint="eastAsia" w:ascii="宋体" w:hAnsi="宋体"/>
                <w:color w:val="000000" w:themeColor="text1"/>
                <w:highlight w:val="none"/>
                <w14:textFill>
                  <w14:solidFill>
                    <w14:schemeClr w14:val="tx1"/>
                  </w14:solidFill>
                </w14:textFill>
              </w:rPr>
            </w:pPr>
          </w:p>
        </w:tc>
        <w:tc>
          <w:tcPr>
            <w:tcW w:w="1875" w:type="dxa"/>
            <w:vAlign w:val="center"/>
          </w:tcPr>
          <w:p w14:paraId="5BAAEC42">
            <w:pPr>
              <w:rPr>
                <w:rFonts w:hint="eastAsia" w:ascii="宋体" w:hAnsi="宋体"/>
                <w:color w:val="000000" w:themeColor="text1"/>
                <w:highlight w:val="none"/>
                <w14:textFill>
                  <w14:solidFill>
                    <w14:schemeClr w14:val="tx1"/>
                  </w14:solidFill>
                </w14:textFill>
              </w:rPr>
            </w:pPr>
          </w:p>
        </w:tc>
      </w:tr>
    </w:tbl>
    <w:p w14:paraId="2112E124">
      <w:pPr>
        <w:jc w:val="center"/>
        <w:rPr>
          <w:rFonts w:hint="eastAsia" w:ascii="宋体" w:hAnsi="宋体"/>
          <w:color w:val="000000" w:themeColor="text1"/>
          <w:sz w:val="24"/>
          <w:szCs w:val="24"/>
          <w:highlight w:val="none"/>
          <w14:textFill>
            <w14:solidFill>
              <w14:schemeClr w14:val="tx1"/>
            </w14:solidFill>
          </w14:textFill>
        </w:rPr>
      </w:pPr>
    </w:p>
    <w:p w14:paraId="2E7DA161">
      <w:pPr>
        <w:ind w:left="-315" w:leftChars="-150" w:right="-378" w:rightChars="-1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注：</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递交的投标文件与招标文件的商务要求的要求有不同时，应逐条列在商务偏离表中。</w:t>
      </w:r>
    </w:p>
    <w:p w14:paraId="6ED80D40">
      <w:pPr>
        <w:spacing w:line="480" w:lineRule="auto"/>
        <w:ind w:right="277" w:rightChars="132" w:firstLine="2880" w:firstLineChars="1200"/>
        <w:rPr>
          <w:rFonts w:hint="eastAsia" w:ascii="宋体" w:hAnsi="宋体"/>
          <w:color w:val="000000" w:themeColor="text1"/>
          <w:sz w:val="24"/>
          <w:highlight w:val="none"/>
          <w14:textFill>
            <w14:solidFill>
              <w14:schemeClr w14:val="tx1"/>
            </w14:solidFill>
          </w14:textFill>
        </w:rPr>
      </w:pPr>
    </w:p>
    <w:p w14:paraId="6E7B9AD3">
      <w:pPr>
        <w:spacing w:line="480" w:lineRule="auto"/>
        <w:ind w:right="277" w:rightChars="132" w:firstLine="2880" w:firstLineChars="1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（电子印章）</w:t>
      </w:r>
    </w:p>
    <w:p w14:paraId="73ADB870">
      <w:pPr>
        <w:spacing w:line="480" w:lineRule="auto"/>
        <w:ind w:right="277" w:rightChars="132" w:firstLine="2880" w:firstLineChars="1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（电子签章）</w:t>
      </w:r>
    </w:p>
    <w:p w14:paraId="737095E7">
      <w:pPr>
        <w:spacing w:line="600" w:lineRule="exact"/>
        <w:ind w:firstLine="2880" w:firstLineChars="1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58420A97">
      <w:pPr>
        <w:jc w:val="center"/>
        <w:rPr>
          <w:rFonts w:hint="eastAsia" w:ascii="宋体" w:hAnsi="宋体"/>
          <w:color w:val="000000" w:themeColor="text1"/>
          <w:sz w:val="24"/>
          <w:szCs w:val="24"/>
          <w:highlight w:val="none"/>
          <w14:textFill>
            <w14:solidFill>
              <w14:schemeClr w14:val="tx1"/>
            </w14:solidFill>
          </w14:textFill>
        </w:rPr>
      </w:pPr>
    </w:p>
    <w:p w14:paraId="3A1B1532">
      <w:pPr>
        <w:jc w:val="center"/>
        <w:rPr>
          <w:rFonts w:hint="eastAsia" w:ascii="宋体" w:hAnsi="宋体"/>
          <w:color w:val="000000" w:themeColor="text1"/>
          <w:sz w:val="24"/>
          <w:szCs w:val="24"/>
          <w:highlight w:val="none"/>
          <w14:textFill>
            <w14:solidFill>
              <w14:schemeClr w14:val="tx1"/>
            </w14:solidFill>
          </w14:textFill>
        </w:rPr>
      </w:pPr>
    </w:p>
    <w:p w14:paraId="7F9857AC">
      <w:pPr>
        <w:jc w:val="center"/>
        <w:rPr>
          <w:rFonts w:hint="eastAsia" w:ascii="宋体" w:hAnsi="宋体"/>
          <w:color w:val="000000" w:themeColor="text1"/>
          <w:sz w:val="24"/>
          <w:szCs w:val="24"/>
          <w:highlight w:val="none"/>
          <w14:textFill>
            <w14:solidFill>
              <w14:schemeClr w14:val="tx1"/>
            </w14:solidFill>
          </w14:textFill>
        </w:rPr>
      </w:pPr>
    </w:p>
    <w:p w14:paraId="7EDEB103">
      <w:pPr>
        <w:jc w:val="center"/>
        <w:rPr>
          <w:rFonts w:hint="eastAsia" w:ascii="宋体" w:hAnsi="宋体"/>
          <w:color w:val="000000" w:themeColor="text1"/>
          <w:sz w:val="24"/>
          <w:szCs w:val="24"/>
          <w:highlight w:val="none"/>
          <w14:textFill>
            <w14:solidFill>
              <w14:schemeClr w14:val="tx1"/>
            </w14:solidFill>
          </w14:textFill>
        </w:rPr>
      </w:pPr>
    </w:p>
    <w:p w14:paraId="0AB8F0C1">
      <w:pPr>
        <w:jc w:val="center"/>
        <w:rPr>
          <w:rFonts w:hint="eastAsia" w:ascii="宋体" w:hAnsi="宋体"/>
          <w:color w:val="000000" w:themeColor="text1"/>
          <w:sz w:val="24"/>
          <w:szCs w:val="24"/>
          <w:highlight w:val="none"/>
          <w14:textFill>
            <w14:solidFill>
              <w14:schemeClr w14:val="tx1"/>
            </w14:solidFill>
          </w14:textFill>
        </w:rPr>
      </w:pPr>
    </w:p>
    <w:p w14:paraId="245F0BA9">
      <w:pPr>
        <w:jc w:val="center"/>
        <w:rPr>
          <w:rFonts w:hint="eastAsia" w:ascii="宋体" w:hAnsi="宋体"/>
          <w:color w:val="000000" w:themeColor="text1"/>
          <w:sz w:val="24"/>
          <w:szCs w:val="24"/>
          <w:highlight w:val="none"/>
          <w14:textFill>
            <w14:solidFill>
              <w14:schemeClr w14:val="tx1"/>
            </w14:solidFill>
          </w14:textFill>
        </w:rPr>
      </w:pPr>
    </w:p>
    <w:p w14:paraId="55276015">
      <w:pPr>
        <w:jc w:val="center"/>
        <w:rPr>
          <w:rFonts w:hint="eastAsia" w:ascii="宋体" w:hAnsi="宋体"/>
          <w:color w:val="000000" w:themeColor="text1"/>
          <w:sz w:val="24"/>
          <w:szCs w:val="24"/>
          <w:highlight w:val="none"/>
          <w14:textFill>
            <w14:solidFill>
              <w14:schemeClr w14:val="tx1"/>
            </w14:solidFill>
          </w14:textFill>
        </w:rPr>
      </w:pPr>
    </w:p>
    <w:p w14:paraId="2D68A3B0">
      <w:pPr>
        <w:jc w:val="center"/>
        <w:rPr>
          <w:rFonts w:hint="eastAsia" w:ascii="宋体" w:hAnsi="宋体"/>
          <w:color w:val="000000" w:themeColor="text1"/>
          <w:sz w:val="24"/>
          <w:szCs w:val="24"/>
          <w:highlight w:val="none"/>
          <w14:textFill>
            <w14:solidFill>
              <w14:schemeClr w14:val="tx1"/>
            </w14:solidFill>
          </w14:textFill>
        </w:rPr>
      </w:pPr>
    </w:p>
    <w:p w14:paraId="7AA6AC0F">
      <w:pPr>
        <w:jc w:val="center"/>
        <w:rPr>
          <w:rFonts w:hint="eastAsia" w:ascii="宋体" w:hAnsi="宋体"/>
          <w:color w:val="000000" w:themeColor="text1"/>
          <w:sz w:val="24"/>
          <w:szCs w:val="24"/>
          <w:highlight w:val="none"/>
          <w14:textFill>
            <w14:solidFill>
              <w14:schemeClr w14:val="tx1"/>
            </w14:solidFill>
          </w14:textFill>
        </w:rPr>
      </w:pPr>
    </w:p>
    <w:p w14:paraId="24B6D85F">
      <w:pPr>
        <w:jc w:val="center"/>
        <w:rPr>
          <w:rFonts w:hint="eastAsia" w:ascii="宋体" w:hAnsi="宋体"/>
          <w:color w:val="000000" w:themeColor="text1"/>
          <w:sz w:val="24"/>
          <w:szCs w:val="24"/>
          <w:highlight w:val="none"/>
          <w14:textFill>
            <w14:solidFill>
              <w14:schemeClr w14:val="tx1"/>
            </w14:solidFill>
          </w14:textFill>
        </w:rPr>
      </w:pPr>
    </w:p>
    <w:p w14:paraId="3727503E">
      <w:pPr>
        <w:jc w:val="center"/>
        <w:rPr>
          <w:rFonts w:hint="eastAsia" w:ascii="宋体" w:hAnsi="宋体"/>
          <w:color w:val="000000" w:themeColor="text1"/>
          <w:sz w:val="24"/>
          <w:szCs w:val="24"/>
          <w:highlight w:val="none"/>
          <w14:textFill>
            <w14:solidFill>
              <w14:schemeClr w14:val="tx1"/>
            </w14:solidFill>
          </w14:textFill>
        </w:rPr>
      </w:pPr>
    </w:p>
    <w:p w14:paraId="1144B022">
      <w:pPr>
        <w:jc w:val="center"/>
        <w:rPr>
          <w:rFonts w:hint="eastAsia" w:ascii="宋体" w:hAnsi="宋体"/>
          <w:color w:val="000000" w:themeColor="text1"/>
          <w:sz w:val="24"/>
          <w:szCs w:val="24"/>
          <w:highlight w:val="none"/>
          <w14:textFill>
            <w14:solidFill>
              <w14:schemeClr w14:val="tx1"/>
            </w14:solidFill>
          </w14:textFill>
        </w:rPr>
      </w:pPr>
    </w:p>
    <w:p w14:paraId="438733CB">
      <w:pPr>
        <w:ind w:firstLine="2164" w:firstLineChars="902"/>
        <w:rPr>
          <w:rFonts w:hint="eastAsia" w:ascii="宋体" w:hAnsi="宋体"/>
          <w:color w:val="000000" w:themeColor="text1"/>
          <w:sz w:val="24"/>
          <w:szCs w:val="24"/>
          <w:highlight w:val="none"/>
          <w14:textFill>
            <w14:solidFill>
              <w14:schemeClr w14:val="tx1"/>
            </w14:solidFill>
          </w14:textFill>
        </w:rPr>
      </w:pPr>
    </w:p>
    <w:p w14:paraId="3738B2A5">
      <w:pPr>
        <w:jc w:val="center"/>
        <w:outlineLvl w:val="1"/>
        <w:rPr>
          <w:rFonts w:hint="eastAsia" w:ascii="宋体" w:hAnsi="宋体"/>
          <w:b/>
          <w:bCs/>
          <w:color w:val="000000" w:themeColor="text1"/>
          <w:sz w:val="32"/>
          <w:szCs w:val="32"/>
          <w:highlight w:val="none"/>
          <w14:textFill>
            <w14:solidFill>
              <w14:schemeClr w14:val="tx1"/>
            </w14:solidFill>
          </w14:textFill>
        </w:rPr>
      </w:pPr>
      <w:bookmarkStart w:id="140" w:name="_Toc11231"/>
      <w:bookmarkEnd w:id="140"/>
      <w:bookmarkStart w:id="141" w:name="_Toc30608"/>
      <w:bookmarkStart w:id="142" w:name="_Toc3460"/>
      <w:r>
        <w:rPr>
          <w:rFonts w:hint="eastAsia" w:ascii="宋体" w:hAnsi="宋体"/>
          <w:b/>
          <w:bCs/>
          <w:color w:val="000000" w:themeColor="text1"/>
          <w:sz w:val="32"/>
          <w:szCs w:val="32"/>
          <w:highlight w:val="none"/>
          <w14:textFill>
            <w14:solidFill>
              <w14:schemeClr w14:val="tx1"/>
            </w14:solidFill>
          </w14:textFill>
        </w:rPr>
        <w:t>五．法定代表人身份证明及授权委托书</w:t>
      </w:r>
      <w:bookmarkEnd w:id="141"/>
      <w:bookmarkEnd w:id="142"/>
    </w:p>
    <w:p w14:paraId="4E7BF676">
      <w:pPr>
        <w:spacing w:line="360" w:lineRule="auto"/>
        <w:ind w:firstLine="480" w:firstLineChars="200"/>
        <w:rPr>
          <w:rFonts w:hint="eastAsia" w:ascii="宋体" w:hAnsi="宋体"/>
          <w:color w:val="000000" w:themeColor="text1"/>
          <w:sz w:val="24"/>
          <w:szCs w:val="24"/>
          <w:highlight w:val="none"/>
          <w14:textFill>
            <w14:solidFill>
              <w14:schemeClr w14:val="tx1"/>
            </w14:solidFill>
          </w14:textFill>
        </w:rPr>
      </w:pPr>
    </w:p>
    <w:p w14:paraId="640F2B8C">
      <w:pPr>
        <w:jc w:val="center"/>
        <w:rPr>
          <w:rFonts w:hint="eastAsia" w:ascii="宋体" w:hAnsi="宋体"/>
          <w:b/>
          <w:bCs/>
          <w:color w:val="000000" w:themeColor="text1"/>
          <w:sz w:val="32"/>
          <w:szCs w:val="32"/>
          <w:highlight w:val="none"/>
          <w14:textFill>
            <w14:solidFill>
              <w14:schemeClr w14:val="tx1"/>
            </w14:solidFill>
          </w14:textFill>
        </w:rPr>
      </w:pPr>
    </w:p>
    <w:p w14:paraId="6BB6A560">
      <w:pPr>
        <w:spacing w:line="440" w:lineRule="exact"/>
        <w:jc w:val="center"/>
        <w:rPr>
          <w:rFonts w:hint="eastAsia"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法定代表人身份证明</w:t>
      </w:r>
    </w:p>
    <w:p w14:paraId="7C6A47EC">
      <w:pPr>
        <w:spacing w:line="440" w:lineRule="exact"/>
        <w:jc w:val="center"/>
        <w:rPr>
          <w:rFonts w:hint="eastAsia" w:ascii="宋体" w:hAnsi="宋体"/>
          <w:b/>
          <w:bCs/>
          <w:color w:val="000000" w:themeColor="text1"/>
          <w:sz w:val="28"/>
          <w:szCs w:val="28"/>
          <w:highlight w:val="none"/>
          <w14:textFill>
            <w14:solidFill>
              <w14:schemeClr w14:val="tx1"/>
            </w14:solidFill>
          </w14:textFill>
        </w:rPr>
      </w:pPr>
    </w:p>
    <w:p w14:paraId="7522778C">
      <w:pPr>
        <w:spacing w:line="600" w:lineRule="exact"/>
        <w:ind w:firstLine="720" w:firstLineChars="3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企业名称：</w:t>
      </w:r>
      <w:r>
        <w:rPr>
          <w:rFonts w:hint="eastAsia" w:ascii="宋体" w:hAnsi="宋体"/>
          <w:color w:val="000000" w:themeColor="text1"/>
          <w:sz w:val="24"/>
          <w:szCs w:val="24"/>
          <w:highlight w:val="none"/>
          <w:u w:val="single"/>
          <w14:textFill>
            <w14:solidFill>
              <w14:schemeClr w14:val="tx1"/>
            </w14:solidFill>
          </w14:textFill>
        </w:rPr>
        <w:t xml:space="preserve">                             </w:t>
      </w:r>
    </w:p>
    <w:p w14:paraId="72B13306">
      <w:pPr>
        <w:spacing w:line="600" w:lineRule="exact"/>
        <w:ind w:firstLine="720" w:firstLineChars="3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地    址：</w:t>
      </w:r>
      <w:r>
        <w:rPr>
          <w:rFonts w:hint="eastAsia" w:ascii="宋体" w:hAnsi="宋体"/>
          <w:color w:val="000000" w:themeColor="text1"/>
          <w:sz w:val="24"/>
          <w:szCs w:val="24"/>
          <w:highlight w:val="none"/>
          <w:u w:val="single"/>
          <w14:textFill>
            <w14:solidFill>
              <w14:schemeClr w14:val="tx1"/>
            </w14:solidFill>
          </w14:textFill>
        </w:rPr>
        <w:t xml:space="preserve">                             </w:t>
      </w:r>
    </w:p>
    <w:p w14:paraId="5DC83A59">
      <w:pPr>
        <w:spacing w:line="600" w:lineRule="exact"/>
        <w:ind w:firstLine="720" w:firstLineChars="3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姓    名：</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性别：</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职务：</w:t>
      </w:r>
      <w:r>
        <w:rPr>
          <w:rFonts w:hint="eastAsia" w:ascii="宋体" w:hAnsi="宋体"/>
          <w:color w:val="000000" w:themeColor="text1"/>
          <w:sz w:val="24"/>
          <w:szCs w:val="24"/>
          <w:highlight w:val="none"/>
          <w:u w:val="single"/>
          <w14:textFill>
            <w14:solidFill>
              <w14:schemeClr w14:val="tx1"/>
            </w14:solidFill>
          </w14:textFill>
        </w:rPr>
        <w:t xml:space="preserve">      </w:t>
      </w:r>
    </w:p>
    <w:p w14:paraId="3A014A4C">
      <w:pPr>
        <w:spacing w:line="600" w:lineRule="exact"/>
        <w:ind w:left="242" w:leftChars="-342" w:hanging="960" w:hangingChars="4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系</w:t>
      </w:r>
      <w:r>
        <w:rPr>
          <w:rFonts w:hint="eastAsia" w:ascii="宋体" w:hAnsi="宋体"/>
          <w:color w:val="000000" w:themeColor="text1"/>
          <w:sz w:val="24"/>
          <w:szCs w:val="24"/>
          <w:highlight w:val="none"/>
          <w:u w:val="single"/>
          <w14:textFill>
            <w14:solidFill>
              <w14:schemeClr w14:val="tx1"/>
            </w14:solidFill>
          </w14:textFill>
        </w:rPr>
        <w:t>（</w:t>
      </w:r>
      <w:r>
        <w:rPr>
          <w:rFonts w:hint="eastAsia" w:ascii="宋体" w:hAnsi="宋体"/>
          <w:color w:val="000000" w:themeColor="text1"/>
          <w:sz w:val="24"/>
          <w:szCs w:val="24"/>
          <w:highlight w:val="none"/>
          <w:u w:val="single"/>
          <w:lang w:eastAsia="zh-CN"/>
          <w14:textFill>
            <w14:solidFill>
              <w14:schemeClr w14:val="tx1"/>
            </w14:solidFill>
          </w14:textFill>
        </w:rPr>
        <w:t>供应商</w:t>
      </w:r>
      <w:r>
        <w:rPr>
          <w:rFonts w:hint="eastAsia" w:ascii="宋体" w:hAnsi="宋体"/>
          <w:color w:val="000000" w:themeColor="text1"/>
          <w:sz w:val="24"/>
          <w:szCs w:val="24"/>
          <w:highlight w:val="none"/>
          <w:u w:val="single"/>
          <w14:textFill>
            <w14:solidFill>
              <w14:schemeClr w14:val="tx1"/>
            </w14:solidFill>
          </w14:textFill>
        </w:rPr>
        <w:t>名称）</w:t>
      </w:r>
      <w:r>
        <w:rPr>
          <w:rFonts w:hint="eastAsia" w:ascii="宋体" w:hAnsi="宋体"/>
          <w:color w:val="000000" w:themeColor="text1"/>
          <w:sz w:val="24"/>
          <w:szCs w:val="24"/>
          <w:highlight w:val="none"/>
          <w14:textFill>
            <w14:solidFill>
              <w14:schemeClr w14:val="tx1"/>
            </w14:solidFill>
          </w14:textFill>
        </w:rPr>
        <w:t>的法定代表人。能够为</w:t>
      </w:r>
      <w:r>
        <w:rPr>
          <w:rFonts w:hint="eastAsia" w:ascii="宋体" w:hAnsi="宋体"/>
          <w:color w:val="000000" w:themeColor="text1"/>
          <w:sz w:val="24"/>
          <w:szCs w:val="24"/>
          <w:highlight w:val="none"/>
          <w:u w:val="single"/>
          <w14:textFill>
            <w14:solidFill>
              <w14:schemeClr w14:val="tx1"/>
            </w14:solidFill>
          </w14:textFill>
        </w:rPr>
        <w:t>（投标项目名称）</w:t>
      </w:r>
      <w:r>
        <w:rPr>
          <w:rFonts w:hint="eastAsia" w:ascii="宋体" w:hAnsi="宋体"/>
          <w:color w:val="000000" w:themeColor="text1"/>
          <w:sz w:val="24"/>
          <w:szCs w:val="24"/>
          <w:highlight w:val="none"/>
          <w14:textFill>
            <w14:solidFill>
              <w14:schemeClr w14:val="tx1"/>
            </w14:solidFill>
          </w14:textFill>
        </w:rPr>
        <w:t>签署投标文件，进行合同谈判、签署合同及处理与之有关的一切事务。</w:t>
      </w:r>
    </w:p>
    <w:p w14:paraId="6D453690">
      <w:pPr>
        <w:spacing w:line="440" w:lineRule="exact"/>
        <w:ind w:left="242" w:leftChars="-342" w:hanging="960" w:hangingChars="400"/>
        <w:rPr>
          <w:rFonts w:hint="eastAsia" w:ascii="宋体" w:hAnsi="宋体"/>
          <w:color w:val="000000" w:themeColor="text1"/>
          <w:sz w:val="24"/>
          <w:szCs w:val="24"/>
          <w:highlight w:val="none"/>
          <w14:textFill>
            <w14:solidFill>
              <w14:schemeClr w14:val="tx1"/>
            </w14:solidFill>
          </w14:textFill>
        </w:rPr>
      </w:pPr>
    </w:p>
    <w:p w14:paraId="3CF37774">
      <w:pPr>
        <w:spacing w:line="440" w:lineRule="exact"/>
        <w:ind w:left="242" w:leftChars="-342" w:hanging="960" w:hangingChars="400"/>
        <w:rPr>
          <w:rFonts w:hint="eastAsia" w:ascii="宋体" w:hAnsi="宋体"/>
          <w:color w:val="000000" w:themeColor="text1"/>
          <w:sz w:val="24"/>
          <w:szCs w:val="24"/>
          <w:highlight w:val="none"/>
          <w14:textFill>
            <w14:solidFill>
              <w14:schemeClr w14:val="tx1"/>
            </w14:solidFill>
          </w14:textFill>
        </w:rPr>
      </w:pPr>
    </w:p>
    <w:p w14:paraId="12C9522A">
      <w:pPr>
        <w:spacing w:line="440" w:lineRule="exact"/>
        <w:ind w:left="242" w:leftChars="-342" w:hanging="960" w:hangingChars="400"/>
        <w:rPr>
          <w:rFonts w:hint="eastAsia" w:ascii="宋体" w:hAnsi="宋体"/>
          <w:color w:val="000000" w:themeColor="text1"/>
          <w:sz w:val="24"/>
          <w:szCs w:val="24"/>
          <w:highlight w:val="none"/>
          <w14:textFill>
            <w14:solidFill>
              <w14:schemeClr w14:val="tx1"/>
            </w14:solidFill>
          </w14:textFill>
        </w:rPr>
      </w:pPr>
    </w:p>
    <w:p w14:paraId="5EEAF114">
      <w:pPr>
        <w:spacing w:line="440" w:lineRule="exact"/>
        <w:ind w:left="238" w:leftChars="99" w:hanging="31" w:hangingChars="13"/>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特此证明。</w:t>
      </w:r>
    </w:p>
    <w:p w14:paraId="5FB8BC80">
      <w:pPr>
        <w:spacing w:line="440" w:lineRule="exact"/>
        <w:ind w:left="238" w:leftChars="99" w:hanging="31" w:hangingChars="13"/>
        <w:rPr>
          <w:rFonts w:hint="eastAsia" w:ascii="宋体" w:hAnsi="宋体"/>
          <w:color w:val="000000" w:themeColor="text1"/>
          <w:sz w:val="24"/>
          <w:szCs w:val="24"/>
          <w:highlight w:val="none"/>
          <w14:textFill>
            <w14:solidFill>
              <w14:schemeClr w14:val="tx1"/>
            </w14:solidFill>
          </w14:textFill>
        </w:rPr>
      </w:pPr>
    </w:p>
    <w:p w14:paraId="14D3FEE4">
      <w:pPr>
        <w:spacing w:line="440" w:lineRule="exact"/>
        <w:ind w:left="238" w:leftChars="99" w:hanging="31" w:hangingChars="13"/>
        <w:rPr>
          <w:rFonts w:hint="eastAsia" w:ascii="宋体" w:hAnsi="宋体"/>
          <w:color w:val="000000" w:themeColor="text1"/>
          <w:sz w:val="24"/>
          <w:szCs w:val="24"/>
          <w:highlight w:val="none"/>
          <w14:textFill>
            <w14:solidFill>
              <w14:schemeClr w14:val="tx1"/>
            </w14:solidFill>
          </w14:textFill>
        </w:rPr>
      </w:pPr>
    </w:p>
    <w:p w14:paraId="09672774">
      <w:pPr>
        <w:spacing w:line="440" w:lineRule="exact"/>
        <w:ind w:left="238" w:leftChars="99" w:hanging="31" w:hangingChars="13"/>
        <w:rPr>
          <w:rFonts w:hint="eastAsia" w:ascii="宋体" w:hAnsi="宋体"/>
          <w:color w:val="000000" w:themeColor="text1"/>
          <w:sz w:val="24"/>
          <w:szCs w:val="24"/>
          <w:highlight w:val="none"/>
          <w14:textFill>
            <w14:solidFill>
              <w14:schemeClr w14:val="tx1"/>
            </w14:solidFill>
          </w14:textFill>
        </w:rPr>
      </w:pPr>
    </w:p>
    <w:p w14:paraId="3342A9AF">
      <w:pPr>
        <w:spacing w:line="480" w:lineRule="auto"/>
        <w:ind w:right="277" w:rightChars="132" w:firstLine="2880" w:firstLineChars="1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（电子印章）</w:t>
      </w:r>
    </w:p>
    <w:p w14:paraId="5981DFB7">
      <w:pPr>
        <w:spacing w:line="480" w:lineRule="auto"/>
        <w:ind w:right="277" w:rightChars="132" w:firstLine="2880" w:firstLineChars="1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（电子签章）</w:t>
      </w:r>
    </w:p>
    <w:p w14:paraId="1F02337F">
      <w:pPr>
        <w:spacing w:line="600" w:lineRule="exact"/>
        <w:ind w:firstLine="2880" w:firstLineChars="1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483FD22E">
      <w:pPr>
        <w:jc w:val="center"/>
        <w:rPr>
          <w:rFonts w:hint="eastAsia" w:ascii="宋体" w:hAnsi="宋体"/>
          <w:color w:val="000000" w:themeColor="text1"/>
          <w:sz w:val="24"/>
          <w:szCs w:val="24"/>
          <w:highlight w:val="none"/>
          <w14:textFill>
            <w14:solidFill>
              <w14:schemeClr w14:val="tx1"/>
            </w14:solidFill>
          </w14:textFill>
        </w:rPr>
      </w:pPr>
    </w:p>
    <w:p w14:paraId="0B61109F">
      <w:pPr>
        <w:jc w:val="center"/>
        <w:rPr>
          <w:rFonts w:hint="eastAsia" w:ascii="宋体" w:hAnsi="宋体"/>
          <w:color w:val="000000" w:themeColor="text1"/>
          <w:sz w:val="24"/>
          <w:szCs w:val="24"/>
          <w:highlight w:val="none"/>
          <w14:textFill>
            <w14:solidFill>
              <w14:schemeClr w14:val="tx1"/>
            </w14:solidFill>
          </w14:textFill>
        </w:rPr>
      </w:pPr>
    </w:p>
    <w:p w14:paraId="29C6F7BB">
      <w:pPr>
        <w:jc w:val="center"/>
        <w:rPr>
          <w:rFonts w:hint="eastAsia" w:ascii="宋体" w:hAnsi="宋体"/>
          <w:color w:val="000000" w:themeColor="text1"/>
          <w:sz w:val="24"/>
          <w:szCs w:val="24"/>
          <w:highlight w:val="none"/>
          <w14:textFill>
            <w14:solidFill>
              <w14:schemeClr w14:val="tx1"/>
            </w14:solidFill>
          </w14:textFill>
        </w:rPr>
      </w:pPr>
    </w:p>
    <w:p w14:paraId="3F63DEFB">
      <w:pPr>
        <w:jc w:val="center"/>
        <w:rPr>
          <w:rFonts w:hint="eastAsia" w:ascii="宋体" w:hAnsi="宋体"/>
          <w:color w:val="000000" w:themeColor="text1"/>
          <w:sz w:val="24"/>
          <w:szCs w:val="24"/>
          <w:highlight w:val="none"/>
          <w14:textFill>
            <w14:solidFill>
              <w14:schemeClr w14:val="tx1"/>
            </w14:solidFill>
          </w14:textFill>
        </w:rPr>
      </w:pPr>
    </w:p>
    <w:p w14:paraId="49C4272F">
      <w:pPr>
        <w:jc w:val="center"/>
        <w:rPr>
          <w:rFonts w:hint="eastAsia" w:ascii="宋体" w:hAnsi="宋体"/>
          <w:color w:val="000000" w:themeColor="text1"/>
          <w:sz w:val="24"/>
          <w:szCs w:val="24"/>
          <w:highlight w:val="none"/>
          <w14:textFill>
            <w14:solidFill>
              <w14:schemeClr w14:val="tx1"/>
            </w14:solidFill>
          </w14:textFill>
        </w:rPr>
      </w:pPr>
    </w:p>
    <w:p w14:paraId="7FA1D99C">
      <w:pPr>
        <w:jc w:val="center"/>
        <w:rPr>
          <w:rFonts w:hint="eastAsia" w:ascii="宋体" w:hAnsi="宋体"/>
          <w:b/>
          <w:bCs/>
          <w:color w:val="000000" w:themeColor="text1"/>
          <w:sz w:val="32"/>
          <w:szCs w:val="32"/>
          <w:highlight w:val="none"/>
          <w14:textFill>
            <w14:solidFill>
              <w14:schemeClr w14:val="tx1"/>
            </w14:solidFill>
          </w14:textFill>
        </w:rPr>
      </w:pPr>
    </w:p>
    <w:p w14:paraId="3E8560EB">
      <w:pPr>
        <w:jc w:val="center"/>
        <w:rPr>
          <w:rFonts w:hint="eastAsia" w:ascii="宋体" w:hAnsi="宋体"/>
          <w:b/>
          <w:bCs/>
          <w:color w:val="000000" w:themeColor="text1"/>
          <w:sz w:val="32"/>
          <w:szCs w:val="32"/>
          <w:highlight w:val="none"/>
          <w14:textFill>
            <w14:solidFill>
              <w14:schemeClr w14:val="tx1"/>
            </w14:solidFill>
          </w14:textFill>
        </w:rPr>
      </w:pPr>
    </w:p>
    <w:p w14:paraId="03584815">
      <w:pPr>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授权委托书</w:t>
      </w:r>
    </w:p>
    <w:p w14:paraId="23BAD978">
      <w:pPr>
        <w:spacing w:line="360" w:lineRule="auto"/>
        <w:ind w:firstLine="480" w:firstLineChars="200"/>
        <w:rPr>
          <w:rFonts w:hint="eastAsia" w:ascii="宋体" w:hAnsi="宋体"/>
          <w:color w:val="000000" w:themeColor="text1"/>
          <w:sz w:val="24"/>
          <w:szCs w:val="24"/>
          <w:highlight w:val="none"/>
          <w14:textFill>
            <w14:solidFill>
              <w14:schemeClr w14:val="tx1"/>
            </w14:solidFill>
          </w14:textFill>
        </w:rPr>
      </w:pPr>
    </w:p>
    <w:p w14:paraId="204BACAD">
      <w:pPr>
        <w:spacing w:line="44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本人</w:t>
      </w:r>
      <w:r>
        <w:rPr>
          <w:rFonts w:hint="eastAsia" w:ascii="宋体" w:hAnsi="宋体"/>
          <w:color w:val="000000" w:themeColor="text1"/>
          <w:sz w:val="24"/>
          <w:szCs w:val="24"/>
          <w:highlight w:val="none"/>
          <w:u w:val="single"/>
          <w14:textFill>
            <w14:solidFill>
              <w14:schemeClr w14:val="tx1"/>
            </w14:solidFill>
          </w14:textFill>
        </w:rPr>
        <w:t>（姓名）</w:t>
      </w:r>
      <w:r>
        <w:rPr>
          <w:rFonts w:hint="eastAsia" w:ascii="宋体" w:hAnsi="宋体"/>
          <w:color w:val="000000" w:themeColor="text1"/>
          <w:sz w:val="24"/>
          <w:szCs w:val="24"/>
          <w:highlight w:val="none"/>
          <w14:textFill>
            <w14:solidFill>
              <w14:schemeClr w14:val="tx1"/>
            </w14:solidFill>
          </w14:textFill>
        </w:rPr>
        <w:t>系</w:t>
      </w:r>
      <w:r>
        <w:rPr>
          <w:rFonts w:hint="eastAsia" w:ascii="宋体" w:hAnsi="宋体"/>
          <w:color w:val="000000" w:themeColor="text1"/>
          <w:sz w:val="24"/>
          <w:szCs w:val="24"/>
          <w:highlight w:val="none"/>
          <w:u w:val="single"/>
          <w14:textFill>
            <w14:solidFill>
              <w14:schemeClr w14:val="tx1"/>
            </w14:solidFill>
          </w14:textFill>
        </w:rPr>
        <w:t>（</w:t>
      </w:r>
      <w:r>
        <w:rPr>
          <w:rFonts w:hint="eastAsia" w:ascii="宋体" w:hAnsi="宋体"/>
          <w:color w:val="000000" w:themeColor="text1"/>
          <w:sz w:val="24"/>
          <w:szCs w:val="24"/>
          <w:highlight w:val="none"/>
          <w:u w:val="single"/>
          <w:lang w:eastAsia="zh-CN"/>
          <w14:textFill>
            <w14:solidFill>
              <w14:schemeClr w14:val="tx1"/>
            </w14:solidFill>
          </w14:textFill>
        </w:rPr>
        <w:t>供应商</w:t>
      </w:r>
      <w:r>
        <w:rPr>
          <w:rFonts w:hint="eastAsia" w:ascii="宋体" w:hAnsi="宋体"/>
          <w:color w:val="000000" w:themeColor="text1"/>
          <w:sz w:val="24"/>
          <w:szCs w:val="24"/>
          <w:highlight w:val="none"/>
          <w:u w:val="single"/>
          <w14:textFill>
            <w14:solidFill>
              <w14:schemeClr w14:val="tx1"/>
            </w14:solidFill>
          </w14:textFill>
        </w:rPr>
        <w:t>名称）</w:t>
      </w:r>
      <w:r>
        <w:rPr>
          <w:rFonts w:hint="eastAsia" w:ascii="宋体" w:hAnsi="宋体"/>
          <w:color w:val="000000" w:themeColor="text1"/>
          <w:sz w:val="24"/>
          <w:szCs w:val="24"/>
          <w:highlight w:val="none"/>
          <w14:textFill>
            <w14:solidFill>
              <w14:schemeClr w14:val="tx1"/>
            </w14:solidFill>
          </w14:textFill>
        </w:rPr>
        <w:t>的法定代表人，现委托</w:t>
      </w:r>
      <w:r>
        <w:rPr>
          <w:rFonts w:hint="eastAsia" w:ascii="宋体" w:hAnsi="宋体"/>
          <w:color w:val="000000" w:themeColor="text1"/>
          <w:sz w:val="24"/>
          <w:szCs w:val="24"/>
          <w:highlight w:val="none"/>
          <w:u w:val="single"/>
          <w14:textFill>
            <w14:solidFill>
              <w14:schemeClr w14:val="tx1"/>
            </w14:solidFill>
          </w14:textFill>
        </w:rPr>
        <w:t xml:space="preserve">  （姓名）  </w:t>
      </w:r>
      <w:r>
        <w:rPr>
          <w:rFonts w:hint="eastAsia" w:ascii="宋体" w:hAnsi="宋体"/>
          <w:color w:val="000000" w:themeColor="text1"/>
          <w:sz w:val="24"/>
          <w:szCs w:val="24"/>
          <w:highlight w:val="none"/>
          <w14:textFill>
            <w14:solidFill>
              <w14:schemeClr w14:val="tx1"/>
            </w14:solidFill>
          </w14:textFill>
        </w:rPr>
        <w:t>为我方代理人，联系方式</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。代理人根据授权，以我方名义签署、澄清、说明、补正、递交、撤回、修改</w:t>
      </w:r>
      <w:r>
        <w:rPr>
          <w:rFonts w:hint="eastAsia" w:ascii="宋体" w:hAnsi="宋体"/>
          <w:color w:val="000000" w:themeColor="text1"/>
          <w:sz w:val="24"/>
          <w:szCs w:val="24"/>
          <w:highlight w:val="none"/>
          <w:u w:val="single"/>
          <w14:textFill>
            <w14:solidFill>
              <w14:schemeClr w14:val="tx1"/>
            </w14:solidFill>
          </w14:textFill>
        </w:rPr>
        <w:t xml:space="preserve"> （项目名称） </w:t>
      </w:r>
      <w:r>
        <w:rPr>
          <w:rFonts w:hint="eastAsia" w:ascii="宋体" w:hAnsi="宋体"/>
          <w:color w:val="000000" w:themeColor="text1"/>
          <w:sz w:val="24"/>
          <w:szCs w:val="24"/>
          <w:highlight w:val="none"/>
          <w14:textFill>
            <w14:solidFill>
              <w14:schemeClr w14:val="tx1"/>
            </w14:solidFill>
          </w14:textFill>
        </w:rPr>
        <w:t>投标文件、签订合同和处理有关事宜，其法律后果由我方承担。</w:t>
      </w:r>
    </w:p>
    <w:p w14:paraId="11E8D2B9">
      <w:pPr>
        <w:spacing w:line="44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委托期限：</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w:t>
      </w:r>
    </w:p>
    <w:p w14:paraId="312D6EEC">
      <w:pPr>
        <w:spacing w:line="44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代理人无转委托权，特此证明。</w:t>
      </w:r>
    </w:p>
    <w:p w14:paraId="1BF00FB0">
      <w:pPr>
        <w:suppressAutoHyphens/>
        <w:spacing w:line="440" w:lineRule="exact"/>
        <w:ind w:firstLine="480" w:firstLineChars="200"/>
        <w:jc w:val="left"/>
        <w:rPr>
          <w:rFonts w:hint="eastAsia" w:ascii="宋体" w:hAnsi="宋体"/>
          <w:color w:val="000000" w:themeColor="text1"/>
          <w:kern w:val="0"/>
          <w:sz w:val="24"/>
          <w:szCs w:val="24"/>
          <w:highlight w:val="none"/>
          <w:lang w:bidi="ar"/>
          <w14:textFill>
            <w14:solidFill>
              <w14:schemeClr w14:val="tx1"/>
            </w14:solidFill>
          </w14:textFill>
        </w:rPr>
      </w:pPr>
      <w:r>
        <w:rPr>
          <w:rFonts w:hint="eastAsia" w:ascii="宋体" w:hAnsi="宋体"/>
          <w:color w:val="000000" w:themeColor="text1"/>
          <w:kern w:val="0"/>
          <w:sz w:val="24"/>
          <w:szCs w:val="24"/>
          <w:highlight w:val="none"/>
          <w:lang w:bidi="ar"/>
          <w14:textFill>
            <w14:solidFill>
              <w14:schemeClr w14:val="tx1"/>
            </w14:solidFill>
          </w14:textFill>
        </w:rPr>
        <w:t>附：法定代表人及授权委托人身份证明</w:t>
      </w:r>
    </w:p>
    <w:p w14:paraId="398BC53D">
      <w:pPr>
        <w:suppressAutoHyphens/>
        <w:spacing w:line="440" w:lineRule="exact"/>
        <w:jc w:val="left"/>
        <w:rPr>
          <w:rFonts w:hint="eastAsia" w:ascii="宋体" w:hAnsi="宋体"/>
          <w:color w:val="000000" w:themeColor="text1"/>
          <w:kern w:val="0"/>
          <w:sz w:val="24"/>
          <w:szCs w:val="24"/>
          <w:highlight w:val="none"/>
          <w:lang w:bidi="ar"/>
          <w14:textFill>
            <w14:solidFill>
              <w14:schemeClr w14:val="tx1"/>
            </w14:solidFill>
          </w14:textFill>
        </w:rPr>
      </w:pPr>
      <w:r>
        <w:rPr>
          <w:rFonts w:hint="eastAsia" w:ascii="宋体" w:hAnsi="宋体"/>
          <w:color w:val="000000" w:themeColor="text1"/>
          <w:kern w:val="0"/>
          <w:sz w:val="24"/>
          <w:szCs w:val="24"/>
          <w:highlight w:val="none"/>
          <w:lang w:bidi="ar"/>
          <w14:textFill>
            <w14:solidFill>
              <w14:schemeClr w14:val="tx1"/>
            </w14:solidFill>
          </w14:textFill>
        </w:rPr>
        <w:t xml:space="preserve"> </w:t>
      </w:r>
    </w:p>
    <w:p w14:paraId="79D52078">
      <w:pPr>
        <w:suppressAutoHyphens/>
        <w:spacing w:line="600" w:lineRule="exact"/>
        <w:ind w:firstLine="2880" w:firstLineChars="1200"/>
        <w:jc w:val="left"/>
        <w:rPr>
          <w:rFonts w:hint="eastAsia" w:ascii="宋体" w:hAnsi="宋体"/>
          <w:color w:val="000000" w:themeColor="text1"/>
          <w:kern w:val="0"/>
          <w:sz w:val="24"/>
          <w:szCs w:val="24"/>
          <w:highlight w:val="none"/>
          <w:lang w:bidi="ar"/>
          <w14:textFill>
            <w14:solidFill>
              <w14:schemeClr w14:val="tx1"/>
            </w14:solidFill>
          </w14:textFill>
        </w:rPr>
      </w:pPr>
    </w:p>
    <w:p w14:paraId="4214AC2E">
      <w:pPr>
        <w:suppressAutoHyphens/>
        <w:spacing w:line="600" w:lineRule="exact"/>
        <w:ind w:firstLine="2880" w:firstLineChars="1200"/>
        <w:jc w:val="left"/>
        <w:rPr>
          <w:rFonts w:hint="eastAsia" w:ascii="宋体" w:hAnsi="宋体"/>
          <w:color w:val="000000" w:themeColor="text1"/>
          <w:kern w:val="0"/>
          <w:sz w:val="24"/>
          <w:szCs w:val="24"/>
          <w:highlight w:val="none"/>
          <w:lang w:bidi="ar"/>
          <w14:textFill>
            <w14:solidFill>
              <w14:schemeClr w14:val="tx1"/>
            </w14:solidFill>
          </w14:textFill>
        </w:rPr>
      </w:pPr>
    </w:p>
    <w:p w14:paraId="1D6C41CA">
      <w:pPr>
        <w:suppressAutoHyphens/>
        <w:spacing w:line="600" w:lineRule="exact"/>
        <w:ind w:firstLine="2880" w:firstLineChars="1200"/>
        <w:jc w:val="left"/>
        <w:rPr>
          <w:rFonts w:hint="eastAsia" w:ascii="宋体" w:hAnsi="宋体"/>
          <w:color w:val="000000" w:themeColor="text1"/>
          <w:kern w:val="0"/>
          <w:sz w:val="24"/>
          <w:szCs w:val="24"/>
          <w:highlight w:val="none"/>
          <w:lang w:bidi="ar"/>
          <w14:textFill>
            <w14:solidFill>
              <w14:schemeClr w14:val="tx1"/>
            </w14:solidFill>
          </w14:textFill>
        </w:rPr>
      </w:pPr>
    </w:p>
    <w:p w14:paraId="27302600">
      <w:pPr>
        <w:suppressAutoHyphens/>
        <w:spacing w:line="600" w:lineRule="exact"/>
        <w:ind w:firstLine="2880" w:firstLineChars="1200"/>
        <w:jc w:val="left"/>
        <w:rPr>
          <w:rFonts w:hint="eastAsia" w:ascii="宋体" w:hAnsi="宋体"/>
          <w:color w:val="000000" w:themeColor="text1"/>
          <w:kern w:val="0"/>
          <w:sz w:val="24"/>
          <w:szCs w:val="24"/>
          <w:highlight w:val="none"/>
          <w:lang w:bidi="ar"/>
          <w14:textFill>
            <w14:solidFill>
              <w14:schemeClr w14:val="tx1"/>
            </w14:solidFill>
          </w14:textFill>
        </w:rPr>
      </w:pPr>
      <w:r>
        <w:rPr>
          <w:rFonts w:hint="eastAsia" w:ascii="宋体" w:hAnsi="宋体"/>
          <w:color w:val="000000" w:themeColor="text1"/>
          <w:kern w:val="0"/>
          <w:sz w:val="24"/>
          <w:szCs w:val="24"/>
          <w:highlight w:val="none"/>
          <w:lang w:bidi="ar"/>
          <w14:textFill>
            <w14:solidFill>
              <w14:schemeClr w14:val="tx1"/>
            </w14:solidFill>
          </w14:textFill>
        </w:rPr>
        <w:t>投  标  人（电子印章）：</w:t>
      </w:r>
      <w:r>
        <w:rPr>
          <w:rFonts w:hint="eastAsia" w:ascii="宋体" w:hAnsi="宋体"/>
          <w:color w:val="000000" w:themeColor="text1"/>
          <w:kern w:val="0"/>
          <w:sz w:val="24"/>
          <w:szCs w:val="24"/>
          <w:highlight w:val="none"/>
          <w:u w:val="single"/>
          <w:lang w:bidi="ar"/>
          <w14:textFill>
            <w14:solidFill>
              <w14:schemeClr w14:val="tx1"/>
            </w14:solidFill>
          </w14:textFill>
        </w:rPr>
        <w:t xml:space="preserve">                       </w:t>
      </w:r>
    </w:p>
    <w:p w14:paraId="2D1272DF">
      <w:pPr>
        <w:suppressAutoHyphens/>
        <w:spacing w:line="600" w:lineRule="exact"/>
        <w:ind w:firstLine="2880" w:firstLineChars="1200"/>
        <w:jc w:val="left"/>
        <w:rPr>
          <w:rFonts w:hint="eastAsia" w:ascii="宋体" w:hAnsi="宋体"/>
          <w:color w:val="000000" w:themeColor="text1"/>
          <w:kern w:val="0"/>
          <w:sz w:val="24"/>
          <w:szCs w:val="24"/>
          <w:highlight w:val="none"/>
          <w:lang w:bidi="ar"/>
          <w14:textFill>
            <w14:solidFill>
              <w14:schemeClr w14:val="tx1"/>
            </w14:solidFill>
          </w14:textFill>
        </w:rPr>
      </w:pPr>
      <w:r>
        <w:rPr>
          <w:rFonts w:hint="eastAsia" w:ascii="宋体" w:hAnsi="宋体"/>
          <w:color w:val="000000" w:themeColor="text1"/>
          <w:kern w:val="0"/>
          <w:sz w:val="24"/>
          <w:szCs w:val="24"/>
          <w:highlight w:val="none"/>
          <w:lang w:bidi="ar"/>
          <w14:textFill>
            <w14:solidFill>
              <w14:schemeClr w14:val="tx1"/>
            </w14:solidFill>
          </w14:textFill>
        </w:rPr>
        <w:t>法定代表人（电子签章）：</w:t>
      </w:r>
      <w:r>
        <w:rPr>
          <w:rFonts w:hint="eastAsia" w:ascii="宋体" w:hAnsi="宋体"/>
          <w:color w:val="000000" w:themeColor="text1"/>
          <w:kern w:val="0"/>
          <w:sz w:val="24"/>
          <w:szCs w:val="24"/>
          <w:highlight w:val="none"/>
          <w:u w:val="single"/>
          <w:lang w:bidi="ar"/>
          <w14:textFill>
            <w14:solidFill>
              <w14:schemeClr w14:val="tx1"/>
            </w14:solidFill>
          </w14:textFill>
        </w:rPr>
        <w:t xml:space="preserve">                  </w:t>
      </w:r>
    </w:p>
    <w:p w14:paraId="2A6A7580">
      <w:pPr>
        <w:suppressAutoHyphens/>
        <w:spacing w:line="600" w:lineRule="exact"/>
        <w:ind w:firstLine="2880" w:firstLineChars="1200"/>
        <w:jc w:val="left"/>
        <w:rPr>
          <w:rFonts w:hint="eastAsia" w:ascii="宋体" w:hAnsi="宋体"/>
          <w:color w:val="000000" w:themeColor="text1"/>
          <w:kern w:val="0"/>
          <w:sz w:val="24"/>
          <w:szCs w:val="24"/>
          <w:highlight w:val="none"/>
          <w:lang w:bidi="ar"/>
          <w14:textFill>
            <w14:solidFill>
              <w14:schemeClr w14:val="tx1"/>
            </w14:solidFill>
          </w14:textFill>
        </w:rPr>
      </w:pPr>
      <w:r>
        <w:rPr>
          <w:rFonts w:hint="eastAsia" w:ascii="宋体" w:hAnsi="宋体"/>
          <w:color w:val="000000" w:themeColor="text1"/>
          <w:kern w:val="0"/>
          <w:sz w:val="24"/>
          <w:szCs w:val="24"/>
          <w:highlight w:val="none"/>
          <w:lang w:bidi="ar"/>
          <w14:textFill>
            <w14:solidFill>
              <w14:schemeClr w14:val="tx1"/>
            </w14:solidFill>
          </w14:textFill>
        </w:rPr>
        <w:t>日期：</w:t>
      </w:r>
      <w:r>
        <w:rPr>
          <w:rFonts w:hint="eastAsia" w:ascii="宋体" w:hAnsi="宋体"/>
          <w:color w:val="000000" w:themeColor="text1"/>
          <w:kern w:val="0"/>
          <w:sz w:val="24"/>
          <w:szCs w:val="24"/>
          <w:highlight w:val="none"/>
          <w:u w:val="single"/>
          <w:lang w:bidi="ar"/>
          <w14:textFill>
            <w14:solidFill>
              <w14:schemeClr w14:val="tx1"/>
            </w14:solidFill>
          </w14:textFill>
        </w:rPr>
        <w:t xml:space="preserve">        </w:t>
      </w:r>
      <w:r>
        <w:rPr>
          <w:rFonts w:hint="eastAsia" w:ascii="宋体" w:hAnsi="宋体"/>
          <w:color w:val="000000" w:themeColor="text1"/>
          <w:kern w:val="0"/>
          <w:sz w:val="24"/>
          <w:szCs w:val="24"/>
          <w:highlight w:val="none"/>
          <w:lang w:bidi="ar"/>
          <w14:textFill>
            <w14:solidFill>
              <w14:schemeClr w14:val="tx1"/>
            </w14:solidFill>
          </w14:textFill>
        </w:rPr>
        <w:t>年</w:t>
      </w:r>
      <w:r>
        <w:rPr>
          <w:rFonts w:hint="eastAsia" w:ascii="宋体" w:hAnsi="宋体"/>
          <w:color w:val="000000" w:themeColor="text1"/>
          <w:kern w:val="0"/>
          <w:sz w:val="24"/>
          <w:szCs w:val="24"/>
          <w:highlight w:val="none"/>
          <w:u w:val="single"/>
          <w:lang w:bidi="ar"/>
          <w14:textFill>
            <w14:solidFill>
              <w14:schemeClr w14:val="tx1"/>
            </w14:solidFill>
          </w14:textFill>
        </w:rPr>
        <w:t xml:space="preserve">       </w:t>
      </w:r>
      <w:r>
        <w:rPr>
          <w:rFonts w:hint="eastAsia" w:ascii="宋体" w:hAnsi="宋体"/>
          <w:color w:val="000000" w:themeColor="text1"/>
          <w:kern w:val="0"/>
          <w:sz w:val="24"/>
          <w:szCs w:val="24"/>
          <w:highlight w:val="none"/>
          <w:lang w:bidi="ar"/>
          <w14:textFill>
            <w14:solidFill>
              <w14:schemeClr w14:val="tx1"/>
            </w14:solidFill>
          </w14:textFill>
        </w:rPr>
        <w:t>月</w:t>
      </w:r>
      <w:r>
        <w:rPr>
          <w:rFonts w:hint="eastAsia" w:ascii="宋体" w:hAnsi="宋体"/>
          <w:color w:val="000000" w:themeColor="text1"/>
          <w:kern w:val="0"/>
          <w:sz w:val="24"/>
          <w:szCs w:val="24"/>
          <w:highlight w:val="none"/>
          <w:u w:val="single"/>
          <w:lang w:bidi="ar"/>
          <w14:textFill>
            <w14:solidFill>
              <w14:schemeClr w14:val="tx1"/>
            </w14:solidFill>
          </w14:textFill>
        </w:rPr>
        <w:t xml:space="preserve">       </w:t>
      </w:r>
      <w:r>
        <w:rPr>
          <w:rFonts w:hint="eastAsia" w:ascii="宋体" w:hAnsi="宋体"/>
          <w:color w:val="000000" w:themeColor="text1"/>
          <w:kern w:val="0"/>
          <w:sz w:val="24"/>
          <w:szCs w:val="24"/>
          <w:highlight w:val="none"/>
          <w:lang w:bidi="ar"/>
          <w14:textFill>
            <w14:solidFill>
              <w14:schemeClr w14:val="tx1"/>
            </w14:solidFill>
          </w14:textFill>
        </w:rPr>
        <w:t>日</w:t>
      </w:r>
    </w:p>
    <w:p w14:paraId="45BA41FE">
      <w:pPr>
        <w:spacing w:line="440" w:lineRule="exact"/>
        <w:ind w:firstLine="2520" w:firstLineChars="1050"/>
        <w:rPr>
          <w:rFonts w:hint="eastAsia" w:ascii="宋体" w:hAnsi="宋体"/>
          <w:color w:val="000000" w:themeColor="text1"/>
          <w:sz w:val="24"/>
          <w:highlight w:val="none"/>
          <w:u w:val="single"/>
          <w14:textFill>
            <w14:solidFill>
              <w14:schemeClr w14:val="tx1"/>
            </w14:solidFill>
          </w14:textFill>
        </w:rPr>
      </w:pPr>
    </w:p>
    <w:p w14:paraId="6712B62D">
      <w:pPr>
        <w:spacing w:line="360" w:lineRule="auto"/>
        <w:jc w:val="center"/>
        <w:rPr>
          <w:rFonts w:hint="eastAsia" w:ascii="宋体" w:hAnsi="宋体"/>
          <w:color w:val="000000" w:themeColor="text1"/>
          <w:highlight w:val="none"/>
          <w14:textFill>
            <w14:solidFill>
              <w14:schemeClr w14:val="tx1"/>
            </w14:solidFill>
          </w14:textFill>
        </w:rPr>
      </w:pPr>
    </w:p>
    <w:p w14:paraId="78CB3EA6">
      <w:pPr>
        <w:jc w:val="center"/>
        <w:rPr>
          <w:rFonts w:hint="eastAsia" w:ascii="宋体" w:hAnsi="宋体"/>
          <w:b/>
          <w:bCs/>
          <w:color w:val="000000" w:themeColor="text1"/>
          <w:sz w:val="32"/>
          <w:szCs w:val="32"/>
          <w:highlight w:val="none"/>
          <w14:textFill>
            <w14:solidFill>
              <w14:schemeClr w14:val="tx1"/>
            </w14:solidFill>
          </w14:textFill>
        </w:rPr>
      </w:pPr>
    </w:p>
    <w:p w14:paraId="7FB581E1">
      <w:pPr>
        <w:jc w:val="center"/>
        <w:rPr>
          <w:rFonts w:hint="eastAsia" w:ascii="宋体" w:hAnsi="宋体"/>
          <w:b/>
          <w:bCs/>
          <w:color w:val="000000" w:themeColor="text1"/>
          <w:sz w:val="32"/>
          <w:szCs w:val="32"/>
          <w:highlight w:val="none"/>
          <w14:textFill>
            <w14:solidFill>
              <w14:schemeClr w14:val="tx1"/>
            </w14:solidFill>
          </w14:textFill>
        </w:rPr>
      </w:pPr>
    </w:p>
    <w:p w14:paraId="424492B4">
      <w:pPr>
        <w:pStyle w:val="55"/>
        <w:rPr>
          <w:rFonts w:hint="eastAsia" w:ascii="宋体" w:hAnsi="宋体"/>
          <w:b/>
          <w:bCs/>
          <w:color w:val="000000" w:themeColor="text1"/>
          <w:szCs w:val="32"/>
          <w:highlight w:val="none"/>
          <w14:textFill>
            <w14:solidFill>
              <w14:schemeClr w14:val="tx1"/>
            </w14:solidFill>
          </w14:textFill>
        </w:rPr>
      </w:pPr>
    </w:p>
    <w:p w14:paraId="12D8993A">
      <w:pPr>
        <w:pStyle w:val="55"/>
        <w:rPr>
          <w:rFonts w:hint="eastAsia" w:ascii="宋体" w:hAnsi="宋体"/>
          <w:b/>
          <w:bCs/>
          <w:color w:val="000000" w:themeColor="text1"/>
          <w:szCs w:val="32"/>
          <w:highlight w:val="none"/>
          <w14:textFill>
            <w14:solidFill>
              <w14:schemeClr w14:val="tx1"/>
            </w14:solidFill>
          </w14:textFill>
        </w:rPr>
      </w:pPr>
    </w:p>
    <w:p w14:paraId="3983191B">
      <w:pPr>
        <w:pStyle w:val="55"/>
        <w:rPr>
          <w:rFonts w:hint="eastAsia" w:ascii="宋体" w:hAnsi="宋体"/>
          <w:b/>
          <w:bCs/>
          <w:color w:val="000000" w:themeColor="text1"/>
          <w:szCs w:val="32"/>
          <w:highlight w:val="none"/>
          <w14:textFill>
            <w14:solidFill>
              <w14:schemeClr w14:val="tx1"/>
            </w14:solidFill>
          </w14:textFill>
        </w:rPr>
      </w:pPr>
    </w:p>
    <w:p w14:paraId="727A04AB">
      <w:pPr>
        <w:jc w:val="center"/>
        <w:outlineLvl w:val="1"/>
        <w:rPr>
          <w:rFonts w:hint="eastAsia" w:ascii="宋体" w:hAnsi="宋体"/>
          <w:b/>
          <w:bCs/>
          <w:color w:val="000000" w:themeColor="text1"/>
          <w:sz w:val="32"/>
          <w:szCs w:val="32"/>
          <w:highlight w:val="none"/>
          <w14:textFill>
            <w14:solidFill>
              <w14:schemeClr w14:val="tx1"/>
            </w14:solidFill>
          </w14:textFill>
        </w:rPr>
      </w:pPr>
      <w:bookmarkStart w:id="143" w:name="_Toc10427"/>
      <w:bookmarkEnd w:id="143"/>
      <w:r>
        <w:rPr>
          <w:rFonts w:hint="eastAsia" w:ascii="宋体" w:hAnsi="宋体"/>
          <w:b/>
          <w:bCs/>
          <w:color w:val="000000" w:themeColor="text1"/>
          <w:sz w:val="32"/>
          <w:szCs w:val="32"/>
          <w:highlight w:val="none"/>
          <w14:textFill>
            <w14:solidFill>
              <w14:schemeClr w14:val="tx1"/>
            </w14:solidFill>
          </w14:textFill>
        </w:rPr>
        <w:br w:type="page"/>
      </w:r>
      <w:bookmarkStart w:id="144" w:name="_Toc1462"/>
      <w:bookmarkStart w:id="145" w:name="_Toc9116"/>
      <w:r>
        <w:rPr>
          <w:rFonts w:hint="eastAsia" w:ascii="宋体" w:hAnsi="宋体"/>
          <w:b/>
          <w:bCs/>
          <w:color w:val="000000" w:themeColor="text1"/>
          <w:sz w:val="32"/>
          <w:szCs w:val="32"/>
          <w:highlight w:val="none"/>
          <w14:textFill>
            <w14:solidFill>
              <w14:schemeClr w14:val="tx1"/>
            </w14:solidFill>
          </w14:textFill>
        </w:rPr>
        <w:t>六．服务承诺书</w:t>
      </w:r>
      <w:bookmarkEnd w:id="144"/>
      <w:bookmarkEnd w:id="145"/>
    </w:p>
    <w:p w14:paraId="1E6D35AF">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承诺可包括“评分因素及分值”部分，还可以涉及项目的具体实施方案等</w:t>
      </w:r>
      <w:r>
        <w:rPr>
          <w:rFonts w:hint="eastAsia" w:ascii="宋体" w:hAnsi="宋体"/>
          <w:b/>
          <w:bCs/>
          <w:color w:val="000000" w:themeColor="text1"/>
          <w:sz w:val="24"/>
          <w:szCs w:val="24"/>
          <w:highlight w:val="none"/>
          <w:lang w:eastAsia="zh-CN"/>
          <w14:textFill>
            <w14:solidFill>
              <w14:schemeClr w14:val="tx1"/>
            </w14:solidFill>
          </w14:textFill>
        </w:rPr>
        <w:t>供应商</w:t>
      </w:r>
      <w:r>
        <w:rPr>
          <w:rFonts w:hint="eastAsia" w:ascii="宋体" w:hAnsi="宋体"/>
          <w:b/>
          <w:bCs/>
          <w:color w:val="000000" w:themeColor="text1"/>
          <w:sz w:val="24"/>
          <w:szCs w:val="24"/>
          <w:highlight w:val="none"/>
          <w14:textFill>
            <w14:solidFill>
              <w14:schemeClr w14:val="tx1"/>
            </w14:solidFill>
          </w14:textFill>
        </w:rPr>
        <w:t>认为有必要的其它内容。</w:t>
      </w:r>
    </w:p>
    <w:p w14:paraId="28CFADE5">
      <w:pPr>
        <w:jc w:val="left"/>
        <w:rPr>
          <w:rFonts w:hint="eastAsia" w:ascii="宋体" w:hAnsi="宋体"/>
          <w:b/>
          <w:bCs/>
          <w:color w:val="000000" w:themeColor="text1"/>
          <w:sz w:val="24"/>
          <w:szCs w:val="24"/>
          <w:highlight w:val="none"/>
          <w14:textFill>
            <w14:solidFill>
              <w14:schemeClr w14:val="tx1"/>
            </w14:solidFill>
          </w14:textFill>
        </w:rPr>
      </w:pPr>
    </w:p>
    <w:tbl>
      <w:tblPr>
        <w:tblStyle w:val="22"/>
        <w:tblW w:w="936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9360"/>
      </w:tblGrid>
      <w:tr w14:paraId="4A68331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610" w:hRule="atLeast"/>
          <w:jc w:val="center"/>
        </w:trPr>
        <w:tc>
          <w:tcPr>
            <w:tcW w:w="9360" w:type="dxa"/>
          </w:tcPr>
          <w:p w14:paraId="7979FA83">
            <w:pPr>
              <w:spacing w:after="312" w:line="440" w:lineRule="exact"/>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承诺内容包括：</w:t>
            </w:r>
          </w:p>
          <w:p w14:paraId="46553810">
            <w:pPr>
              <w:spacing w:line="440" w:lineRule="exact"/>
              <w:jc w:val="center"/>
              <w:rPr>
                <w:rFonts w:hint="eastAsia" w:ascii="宋体" w:hAnsi="宋体"/>
                <w:color w:val="000000" w:themeColor="text1"/>
                <w:sz w:val="24"/>
                <w:szCs w:val="24"/>
                <w:highlight w:val="none"/>
                <w14:textFill>
                  <w14:solidFill>
                    <w14:schemeClr w14:val="tx1"/>
                  </w14:solidFill>
                </w14:textFill>
              </w:rPr>
            </w:pPr>
          </w:p>
          <w:p w14:paraId="6A8E4187">
            <w:pPr>
              <w:spacing w:line="440" w:lineRule="exact"/>
              <w:jc w:val="center"/>
              <w:rPr>
                <w:rFonts w:hint="eastAsia" w:ascii="宋体" w:hAnsi="宋体"/>
                <w:color w:val="000000" w:themeColor="text1"/>
                <w:sz w:val="24"/>
                <w:szCs w:val="24"/>
                <w:highlight w:val="none"/>
                <w14:textFill>
                  <w14:solidFill>
                    <w14:schemeClr w14:val="tx1"/>
                  </w14:solidFill>
                </w14:textFill>
              </w:rPr>
            </w:pPr>
          </w:p>
          <w:p w14:paraId="54F868EE">
            <w:pPr>
              <w:spacing w:line="440" w:lineRule="exact"/>
              <w:jc w:val="center"/>
              <w:rPr>
                <w:rFonts w:hint="eastAsia" w:ascii="宋体" w:hAnsi="宋体"/>
                <w:color w:val="000000" w:themeColor="text1"/>
                <w:sz w:val="24"/>
                <w:szCs w:val="24"/>
                <w:highlight w:val="none"/>
                <w14:textFill>
                  <w14:solidFill>
                    <w14:schemeClr w14:val="tx1"/>
                  </w14:solidFill>
                </w14:textFill>
              </w:rPr>
            </w:pPr>
          </w:p>
          <w:p w14:paraId="6EB3BA17">
            <w:pPr>
              <w:spacing w:line="440" w:lineRule="exact"/>
              <w:jc w:val="center"/>
              <w:rPr>
                <w:rFonts w:hint="eastAsia" w:ascii="宋体" w:hAnsi="宋体"/>
                <w:color w:val="000000" w:themeColor="text1"/>
                <w:sz w:val="24"/>
                <w:szCs w:val="24"/>
                <w:highlight w:val="none"/>
                <w14:textFill>
                  <w14:solidFill>
                    <w14:schemeClr w14:val="tx1"/>
                  </w14:solidFill>
                </w14:textFill>
              </w:rPr>
            </w:pPr>
          </w:p>
          <w:p w14:paraId="61BCD381">
            <w:pPr>
              <w:spacing w:line="440" w:lineRule="exact"/>
              <w:jc w:val="center"/>
              <w:rPr>
                <w:rFonts w:hint="eastAsia" w:ascii="宋体" w:hAnsi="宋体"/>
                <w:color w:val="000000" w:themeColor="text1"/>
                <w:sz w:val="24"/>
                <w:szCs w:val="24"/>
                <w:highlight w:val="none"/>
                <w14:textFill>
                  <w14:solidFill>
                    <w14:schemeClr w14:val="tx1"/>
                  </w14:solidFill>
                </w14:textFill>
              </w:rPr>
            </w:pPr>
          </w:p>
          <w:p w14:paraId="7853C80C">
            <w:pPr>
              <w:spacing w:line="440" w:lineRule="exact"/>
              <w:jc w:val="center"/>
              <w:rPr>
                <w:rFonts w:hint="eastAsia" w:ascii="宋体" w:hAnsi="宋体"/>
                <w:color w:val="000000" w:themeColor="text1"/>
                <w:sz w:val="24"/>
                <w:szCs w:val="24"/>
                <w:highlight w:val="none"/>
                <w14:textFill>
                  <w14:solidFill>
                    <w14:schemeClr w14:val="tx1"/>
                  </w14:solidFill>
                </w14:textFill>
              </w:rPr>
            </w:pPr>
          </w:p>
          <w:p w14:paraId="2206B007">
            <w:pPr>
              <w:spacing w:line="440" w:lineRule="exact"/>
              <w:jc w:val="center"/>
              <w:rPr>
                <w:rFonts w:hint="eastAsia" w:ascii="宋体" w:hAnsi="宋体"/>
                <w:color w:val="000000" w:themeColor="text1"/>
                <w:sz w:val="24"/>
                <w:szCs w:val="24"/>
                <w:highlight w:val="none"/>
                <w14:textFill>
                  <w14:solidFill>
                    <w14:schemeClr w14:val="tx1"/>
                  </w14:solidFill>
                </w14:textFill>
              </w:rPr>
            </w:pPr>
          </w:p>
          <w:p w14:paraId="5D03D90B">
            <w:pPr>
              <w:spacing w:line="440" w:lineRule="exact"/>
              <w:jc w:val="center"/>
              <w:rPr>
                <w:rFonts w:hint="eastAsia" w:ascii="宋体" w:hAnsi="宋体"/>
                <w:color w:val="000000" w:themeColor="text1"/>
                <w:sz w:val="24"/>
                <w:szCs w:val="24"/>
                <w:highlight w:val="none"/>
                <w14:textFill>
                  <w14:solidFill>
                    <w14:schemeClr w14:val="tx1"/>
                  </w14:solidFill>
                </w14:textFill>
              </w:rPr>
            </w:pPr>
          </w:p>
          <w:p w14:paraId="5AE8D64A">
            <w:pPr>
              <w:spacing w:line="440" w:lineRule="exact"/>
              <w:jc w:val="center"/>
              <w:rPr>
                <w:rFonts w:hint="eastAsia" w:ascii="宋体" w:hAnsi="宋体"/>
                <w:color w:val="000000" w:themeColor="text1"/>
                <w:sz w:val="24"/>
                <w:szCs w:val="24"/>
                <w:highlight w:val="none"/>
                <w14:textFill>
                  <w14:solidFill>
                    <w14:schemeClr w14:val="tx1"/>
                  </w14:solidFill>
                </w14:textFill>
              </w:rPr>
            </w:pPr>
          </w:p>
          <w:p w14:paraId="3D07827B">
            <w:pPr>
              <w:spacing w:line="440" w:lineRule="exact"/>
              <w:jc w:val="center"/>
              <w:rPr>
                <w:rFonts w:hint="eastAsia" w:ascii="宋体" w:hAnsi="宋体"/>
                <w:color w:val="000000" w:themeColor="text1"/>
                <w:sz w:val="24"/>
                <w:szCs w:val="24"/>
                <w:highlight w:val="none"/>
                <w14:textFill>
                  <w14:solidFill>
                    <w14:schemeClr w14:val="tx1"/>
                  </w14:solidFill>
                </w14:textFill>
              </w:rPr>
            </w:pPr>
          </w:p>
          <w:p w14:paraId="211EA76C">
            <w:pPr>
              <w:spacing w:line="440" w:lineRule="exact"/>
              <w:jc w:val="center"/>
              <w:rPr>
                <w:rFonts w:hint="eastAsia" w:ascii="宋体" w:hAnsi="宋体"/>
                <w:color w:val="000000" w:themeColor="text1"/>
                <w:sz w:val="24"/>
                <w:szCs w:val="24"/>
                <w:highlight w:val="none"/>
                <w14:textFill>
                  <w14:solidFill>
                    <w14:schemeClr w14:val="tx1"/>
                  </w14:solidFill>
                </w14:textFill>
              </w:rPr>
            </w:pPr>
          </w:p>
          <w:p w14:paraId="67B732D0">
            <w:pPr>
              <w:spacing w:line="440" w:lineRule="exact"/>
              <w:jc w:val="center"/>
              <w:rPr>
                <w:rFonts w:hint="eastAsia" w:ascii="宋体" w:hAnsi="宋体"/>
                <w:color w:val="000000" w:themeColor="text1"/>
                <w:sz w:val="24"/>
                <w:szCs w:val="24"/>
                <w:highlight w:val="none"/>
                <w14:textFill>
                  <w14:solidFill>
                    <w14:schemeClr w14:val="tx1"/>
                  </w14:solidFill>
                </w14:textFill>
              </w:rPr>
            </w:pPr>
          </w:p>
          <w:p w14:paraId="124B9E5F">
            <w:pPr>
              <w:spacing w:line="440" w:lineRule="exact"/>
              <w:jc w:val="center"/>
              <w:rPr>
                <w:rFonts w:hint="eastAsia" w:ascii="宋体" w:hAnsi="宋体"/>
                <w:color w:val="000000" w:themeColor="text1"/>
                <w:sz w:val="24"/>
                <w:szCs w:val="24"/>
                <w:highlight w:val="none"/>
                <w14:textFill>
                  <w14:solidFill>
                    <w14:schemeClr w14:val="tx1"/>
                  </w14:solidFill>
                </w14:textFill>
              </w:rPr>
            </w:pPr>
          </w:p>
          <w:p w14:paraId="1BC0D526">
            <w:pPr>
              <w:spacing w:line="440" w:lineRule="exact"/>
              <w:jc w:val="center"/>
              <w:rPr>
                <w:rFonts w:hint="eastAsia" w:ascii="宋体" w:hAnsi="宋体"/>
                <w:color w:val="000000" w:themeColor="text1"/>
                <w:sz w:val="24"/>
                <w:szCs w:val="24"/>
                <w:highlight w:val="none"/>
                <w14:textFill>
                  <w14:solidFill>
                    <w14:schemeClr w14:val="tx1"/>
                  </w14:solidFill>
                </w14:textFill>
              </w:rPr>
            </w:pPr>
          </w:p>
          <w:p w14:paraId="3A17D944">
            <w:pPr>
              <w:spacing w:line="440" w:lineRule="exact"/>
              <w:jc w:val="center"/>
              <w:rPr>
                <w:rFonts w:hint="eastAsia" w:ascii="宋体" w:hAnsi="宋体"/>
                <w:color w:val="000000" w:themeColor="text1"/>
                <w:sz w:val="24"/>
                <w:szCs w:val="24"/>
                <w:highlight w:val="none"/>
                <w14:textFill>
                  <w14:solidFill>
                    <w14:schemeClr w14:val="tx1"/>
                  </w14:solidFill>
                </w14:textFill>
              </w:rPr>
            </w:pPr>
          </w:p>
          <w:p w14:paraId="2F79CB02">
            <w:pPr>
              <w:spacing w:line="440" w:lineRule="exact"/>
              <w:jc w:val="center"/>
              <w:rPr>
                <w:rFonts w:hint="eastAsia" w:ascii="宋体" w:hAnsi="宋体"/>
                <w:color w:val="000000" w:themeColor="text1"/>
                <w:sz w:val="24"/>
                <w:szCs w:val="24"/>
                <w:highlight w:val="none"/>
                <w14:textFill>
                  <w14:solidFill>
                    <w14:schemeClr w14:val="tx1"/>
                  </w14:solidFill>
                </w14:textFill>
              </w:rPr>
            </w:pPr>
          </w:p>
          <w:p w14:paraId="7DFAF564">
            <w:pPr>
              <w:spacing w:line="480" w:lineRule="auto"/>
              <w:ind w:right="277" w:rightChars="132" w:firstLine="2880" w:firstLineChars="1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eastAsia="zh-CN"/>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（电子印章）</w:t>
            </w:r>
          </w:p>
          <w:p w14:paraId="77AF109C">
            <w:pPr>
              <w:spacing w:line="480" w:lineRule="auto"/>
              <w:ind w:right="277" w:rightChars="132" w:firstLine="2880" w:firstLineChars="1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（电子签章）</w:t>
            </w:r>
          </w:p>
          <w:p w14:paraId="55293C5D">
            <w:pPr>
              <w:spacing w:line="600" w:lineRule="exact"/>
              <w:ind w:firstLine="2880" w:firstLineChars="1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7AE4AFF2">
            <w:pPr>
              <w:spacing w:line="600" w:lineRule="exact"/>
              <w:ind w:left="1560" w:leftChars="743" w:firstLine="1560" w:firstLineChars="650"/>
              <w:jc w:val="center"/>
              <w:rPr>
                <w:rFonts w:hint="eastAsia" w:ascii="宋体" w:hAnsi="宋体"/>
                <w:color w:val="000000" w:themeColor="text1"/>
                <w:sz w:val="24"/>
                <w:szCs w:val="24"/>
                <w:highlight w:val="none"/>
                <w14:textFill>
                  <w14:solidFill>
                    <w14:schemeClr w14:val="tx1"/>
                  </w14:solidFill>
                </w14:textFill>
              </w:rPr>
            </w:pPr>
          </w:p>
        </w:tc>
      </w:tr>
    </w:tbl>
    <w:p w14:paraId="74B27414">
      <w:pPr>
        <w:jc w:val="center"/>
        <w:rPr>
          <w:rFonts w:hint="eastAsia" w:ascii="宋体" w:hAnsi="宋体"/>
          <w:b/>
          <w:bCs/>
          <w:color w:val="000000" w:themeColor="text1"/>
          <w:sz w:val="32"/>
          <w:szCs w:val="32"/>
          <w:highlight w:val="none"/>
          <w14:textFill>
            <w14:solidFill>
              <w14:schemeClr w14:val="tx1"/>
            </w14:solidFill>
          </w14:textFill>
        </w:rPr>
      </w:pPr>
    </w:p>
    <w:p w14:paraId="42BD5AB7">
      <w:pPr>
        <w:jc w:val="center"/>
        <w:rPr>
          <w:rFonts w:hint="eastAsia" w:ascii="宋体" w:hAnsi="宋体"/>
          <w:b/>
          <w:bCs/>
          <w:color w:val="000000" w:themeColor="text1"/>
          <w:sz w:val="32"/>
          <w:szCs w:val="32"/>
          <w:highlight w:val="none"/>
          <w14:textFill>
            <w14:solidFill>
              <w14:schemeClr w14:val="tx1"/>
            </w14:solidFill>
          </w14:textFill>
        </w:rPr>
      </w:pPr>
    </w:p>
    <w:p w14:paraId="577A883C">
      <w:pPr>
        <w:rPr>
          <w:rFonts w:hint="eastAsia" w:ascii="宋体" w:hAnsi="宋体"/>
          <w:b/>
          <w:bCs/>
          <w:color w:val="000000" w:themeColor="text1"/>
          <w:sz w:val="32"/>
          <w:szCs w:val="32"/>
          <w:highlight w:val="none"/>
          <w14:textFill>
            <w14:solidFill>
              <w14:schemeClr w14:val="tx1"/>
            </w14:solidFill>
          </w14:textFill>
        </w:rPr>
      </w:pPr>
    </w:p>
    <w:p w14:paraId="01C54007">
      <w:pPr>
        <w:pStyle w:val="68"/>
        <w:shd w:val="clear" w:color="auto" w:fill="FFFFFF"/>
        <w:jc w:val="center"/>
        <w:outlineLvl w:val="1"/>
        <w:rPr>
          <w:rFonts w:hint="eastAsia" w:ascii="宋体" w:hAnsi="宋体"/>
          <w:b/>
          <w:color w:val="000000" w:themeColor="text1"/>
          <w:sz w:val="32"/>
          <w:szCs w:val="32"/>
          <w:highlight w:val="none"/>
          <w14:textFill>
            <w14:solidFill>
              <w14:schemeClr w14:val="tx1"/>
            </w14:solidFill>
          </w14:textFill>
        </w:rPr>
      </w:pPr>
      <w:bookmarkStart w:id="146" w:name="_Toc19832"/>
      <w:bookmarkStart w:id="147" w:name="_Toc17285"/>
      <w:bookmarkStart w:id="148" w:name="_Toc11216"/>
      <w:r>
        <w:rPr>
          <w:rFonts w:hint="eastAsia" w:ascii="宋体" w:hAnsi="宋体"/>
          <w:b/>
          <w:color w:val="000000" w:themeColor="text1"/>
          <w:sz w:val="32"/>
          <w:szCs w:val="32"/>
          <w:highlight w:val="none"/>
          <w14:textFill>
            <w14:solidFill>
              <w14:schemeClr w14:val="tx1"/>
            </w14:solidFill>
          </w14:textFill>
        </w:rPr>
        <w:t>七</w:t>
      </w:r>
      <w:r>
        <w:rPr>
          <w:rFonts w:hint="eastAsia" w:ascii="宋体" w:hAnsi="宋体"/>
          <w:b/>
          <w:bCs/>
          <w:color w:val="000000" w:themeColor="text1"/>
          <w:sz w:val="32"/>
          <w:szCs w:val="32"/>
          <w:highlight w:val="none"/>
          <w14:textFill>
            <w14:solidFill>
              <w14:schemeClr w14:val="tx1"/>
            </w14:solidFill>
          </w14:textFill>
        </w:rPr>
        <w:t>．</w:t>
      </w:r>
      <w:r>
        <w:rPr>
          <w:rFonts w:hint="eastAsia" w:ascii="宋体" w:hAnsi="宋体"/>
          <w:b/>
          <w:color w:val="000000" w:themeColor="text1"/>
          <w:sz w:val="32"/>
          <w:szCs w:val="32"/>
          <w:highlight w:val="none"/>
          <w14:textFill>
            <w14:solidFill>
              <w14:schemeClr w14:val="tx1"/>
            </w14:solidFill>
          </w14:textFill>
        </w:rPr>
        <w:t>投标承诺书</w:t>
      </w:r>
      <w:bookmarkEnd w:id="146"/>
      <w:bookmarkEnd w:id="147"/>
    </w:p>
    <w:p w14:paraId="074746DF">
      <w:pPr>
        <w:pStyle w:val="68"/>
        <w:shd w:val="clear" w:color="auto" w:fill="FFFFFF"/>
        <w:jc w:val="center"/>
        <w:outlineLvl w:val="9"/>
        <w:rPr>
          <w:rFonts w:hint="eastAsia" w:ascii="宋体" w:hAnsi="宋体"/>
          <w:b/>
          <w:color w:val="000000" w:themeColor="text1"/>
          <w:sz w:val="28"/>
          <w:szCs w:val="28"/>
          <w:highlight w:val="none"/>
          <w14:textFill>
            <w14:solidFill>
              <w14:schemeClr w14:val="tx1"/>
            </w14:solidFill>
          </w14:textFill>
        </w:rPr>
      </w:pPr>
      <w:bookmarkStart w:id="149" w:name="_Toc4161"/>
      <w:bookmarkStart w:id="150" w:name="_Toc32427"/>
      <w:r>
        <w:rPr>
          <w:rFonts w:hint="eastAsia" w:ascii="宋体" w:hAnsi="宋体"/>
          <w:b/>
          <w:color w:val="000000" w:themeColor="text1"/>
          <w:sz w:val="28"/>
          <w:szCs w:val="28"/>
          <w:highlight w:val="none"/>
          <w14:textFill>
            <w14:solidFill>
              <w14:schemeClr w14:val="tx1"/>
            </w14:solidFill>
          </w14:textFill>
        </w:rPr>
        <w:t>1、投标承诺函</w:t>
      </w:r>
      <w:bookmarkEnd w:id="149"/>
      <w:bookmarkEnd w:id="150"/>
    </w:p>
    <w:p w14:paraId="240A508A">
      <w:pPr>
        <w:pStyle w:val="68"/>
        <w:shd w:val="clear" w:color="auto" w:fill="FFFFFF"/>
        <w:spacing w:line="360" w:lineRule="auto"/>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致</w:t>
      </w:r>
      <w:r>
        <w:rPr>
          <w:rFonts w:hint="eastAsia" w:ascii="宋体" w:hAnsi="宋体"/>
          <w:color w:val="000000" w:themeColor="text1"/>
          <w:highlight w:val="none"/>
          <w:u w:val="single"/>
          <w:lang w:val="zh-CN"/>
          <w14:textFill>
            <w14:solidFill>
              <w14:schemeClr w14:val="tx1"/>
            </w14:solidFill>
          </w14:textFill>
        </w:rPr>
        <w:t>（采购人及采购代理机构）</w:t>
      </w:r>
      <w:r>
        <w:rPr>
          <w:rFonts w:hint="eastAsia" w:ascii="宋体" w:hAnsi="宋体"/>
          <w:color w:val="000000" w:themeColor="text1"/>
          <w:highlight w:val="none"/>
          <w:lang w:val="zh-CN"/>
          <w14:textFill>
            <w14:solidFill>
              <w14:schemeClr w14:val="tx1"/>
            </w14:solidFill>
          </w14:textFill>
        </w:rPr>
        <w:t>：</w:t>
      </w:r>
    </w:p>
    <w:p w14:paraId="38272808">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我公司作为本次采购项目的供应商，根据招标文件要求，现郑重承诺如下：</w:t>
      </w:r>
    </w:p>
    <w:p w14:paraId="11DA2119">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一、具备《中华人民共和国政府采购法》第二十二条第一款和本项目规定的条件：</w:t>
      </w:r>
    </w:p>
    <w:p w14:paraId="1063B819">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（一）具有独立承担民事责任的能力；</w:t>
      </w:r>
    </w:p>
    <w:p w14:paraId="241372F6">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（二）具有良好的商业信誉和健全的财务会计制度；</w:t>
      </w:r>
    </w:p>
    <w:p w14:paraId="7AD67A0C">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（三）具有履行合同所必需的设备和专业技术能力；</w:t>
      </w:r>
    </w:p>
    <w:p w14:paraId="68C0BBCC">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四</w:t>
      </w:r>
      <w:r>
        <w:rPr>
          <w:rFonts w:hint="eastAsia" w:ascii="宋体" w:hAnsi="宋体"/>
          <w:color w:val="000000" w:themeColor="text1"/>
          <w:highlight w:val="none"/>
          <w:lang w:val="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有依法缴纳税收和社会保障资金的良好记录；</w:t>
      </w:r>
    </w:p>
    <w:p w14:paraId="4E54DAB0">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（五）参加政府采购活动前三年内，在经营活动中没有重大违法记录；</w:t>
      </w:r>
    </w:p>
    <w:p w14:paraId="710FBBCA">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（六）法律、行政法规规定的其他条件；</w:t>
      </w:r>
    </w:p>
    <w:p w14:paraId="7C686A22">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（七）根据采购项目提出的特殊条件。</w:t>
      </w:r>
    </w:p>
    <w:p w14:paraId="252D959D">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709F34E6">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三、参加本次招标采购活动，不存在与单位负责人为同一人或者存在直接控股、管理关系的其他供应商参与同一合同项下的政府采购活动的行为。</w:t>
      </w:r>
    </w:p>
    <w:p w14:paraId="5BA3FBC6">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四、参加本次招标采购活动，不存在为采购项目提供整体设计、规范编制或者项目管理、监理、检测等服务的行为。</w:t>
      </w:r>
    </w:p>
    <w:p w14:paraId="591DC133">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五、参加本次招标采购活动，不存在和其他供应商在同一合同项下的采购项目中，同时委托同一个自然人、同一家庭的人员、同一单位的人员作为代理人的行为。</w:t>
      </w:r>
    </w:p>
    <w:p w14:paraId="29565A33">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六、投标人参加本次政府采购活动要求在近三年内投标人和其法定代表人没有行贿犯罪行为。</w:t>
      </w:r>
    </w:p>
    <w:p w14:paraId="54CB2529">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七、参加本次招标采购活动，不存在联合体投标。</w:t>
      </w:r>
    </w:p>
    <w:p w14:paraId="5357D1F8">
      <w:pPr>
        <w:pStyle w:val="68"/>
        <w:shd w:val="clear" w:color="auto" w:fill="FFFFFF"/>
        <w:spacing w:before="0" w:beforeAutospacing="0" w:after="0" w:afterAutospacing="0" w:line="440" w:lineRule="exact"/>
        <w:ind w:firstLine="482"/>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八、投标文件中提供的任何材料资料和技术、服务、商务等响应承诺情况都是真实的、有效的、合法的。</w:t>
      </w:r>
    </w:p>
    <w:p w14:paraId="5CFF4A56">
      <w:pPr>
        <w:pStyle w:val="68"/>
        <w:shd w:val="clear" w:color="auto" w:fill="FFFFFF"/>
        <w:spacing w:before="0" w:beforeAutospacing="0" w:after="0" w:afterAutospacing="0" w:line="440" w:lineRule="exact"/>
        <w:ind w:firstLine="482"/>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九、如本项目评标过程中需要提供样品，则我公司提供的样品即为中标后将要提供的中标产品，我公司对提供样品的性能和质量负责，因样品存在缺陷或者不符合招标文件要求导致未能中标的，我公司愿意承担相应不利后果。</w:t>
      </w:r>
    </w:p>
    <w:p w14:paraId="0957B586">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十、存在以下行为之一的愿意接受相关部门的处理：</w:t>
      </w:r>
    </w:p>
    <w:p w14:paraId="536ECBBA">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（一）投标有效期内撤销投标文件的；</w:t>
      </w:r>
    </w:p>
    <w:p w14:paraId="6E16BD77">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（二）在采购人确定中标人以前放弃中标候选资格的；</w:t>
      </w:r>
    </w:p>
    <w:p w14:paraId="185C7987">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（三）由于中标人的原因未能按照招标文件的规定与采购人签订合同；</w:t>
      </w:r>
    </w:p>
    <w:p w14:paraId="0C9571A1">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（四）在投标文件中提供虚假材料谋取中标；</w:t>
      </w:r>
    </w:p>
    <w:p w14:paraId="771CAA04">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（五）与采购人、其他供应商或者采购代理机构恶意串通的；</w:t>
      </w:r>
    </w:p>
    <w:p w14:paraId="64577983">
      <w:pPr>
        <w:pStyle w:val="68"/>
        <w:shd w:val="clear" w:color="auto" w:fill="FFFFFF"/>
        <w:spacing w:before="0" w:beforeAutospacing="0" w:after="0" w:afterAutospacing="0" w:line="440" w:lineRule="exact"/>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（六）投标有效期内，投标人在政府采购活动中有违法、违规、违纪行为。</w:t>
      </w:r>
    </w:p>
    <w:p w14:paraId="3E86AD53">
      <w:pPr>
        <w:pStyle w:val="68"/>
        <w:shd w:val="clear" w:color="auto" w:fill="FFFFFF"/>
        <w:spacing w:before="0" w:beforeAutospacing="0" w:after="0" w:afterAutospacing="0" w:line="440" w:lineRule="exact"/>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由此产生的一切法律后果和责任由我公司承担。我公司声明放弃对此提出任何异议和追索的权利。</w:t>
      </w:r>
    </w:p>
    <w:p w14:paraId="41B1782F">
      <w:pPr>
        <w:pStyle w:val="68"/>
        <w:shd w:val="clear" w:color="auto" w:fill="FFFFFF"/>
        <w:spacing w:before="0" w:beforeAutospacing="0" w:after="0" w:afterAutospacing="0" w:line="440" w:lineRule="exact"/>
        <w:ind w:firstLine="69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本公司对上述承诺的内容事项真实性负责。如经查实上述承诺的内容事项存在虚假，我公司愿意接受以提供虚假材料谋取中标追究法律责任。</w:t>
      </w:r>
    </w:p>
    <w:p w14:paraId="6BF255D1">
      <w:pPr>
        <w:pStyle w:val="68"/>
        <w:shd w:val="clear" w:color="auto" w:fill="FFFFFF"/>
        <w:spacing w:before="0" w:beforeAutospacing="0" w:after="0" w:afterAutospacing="0" w:line="440" w:lineRule="exact"/>
        <w:ind w:firstLine="465"/>
        <w:rPr>
          <w:rFonts w:hint="eastAsia" w:ascii="宋体" w:hAnsi="宋体"/>
          <w:color w:val="000000" w:themeColor="text1"/>
          <w:spacing w:val="8"/>
          <w:highlight w:val="none"/>
          <w:shd w:val="clear" w:color="auto" w:fill="FFFFFF"/>
          <w14:textFill>
            <w14:solidFill>
              <w14:schemeClr w14:val="tx1"/>
            </w14:solidFill>
          </w14:textFill>
        </w:rPr>
      </w:pPr>
    </w:p>
    <w:p w14:paraId="22215F66">
      <w:pPr>
        <w:pStyle w:val="68"/>
        <w:shd w:val="clear" w:color="auto" w:fill="FFFFFF"/>
        <w:spacing w:before="0" w:beforeAutospacing="0" w:after="0" w:afterAutospacing="0" w:line="440" w:lineRule="exact"/>
        <w:ind w:firstLine="465"/>
        <w:rPr>
          <w:rFonts w:hint="eastAsia" w:ascii="宋体" w:hAnsi="宋体"/>
          <w:color w:val="000000" w:themeColor="text1"/>
          <w:spacing w:val="8"/>
          <w:highlight w:val="none"/>
          <w:shd w:val="clear" w:color="auto" w:fill="FFFFFF"/>
          <w14:textFill>
            <w14:solidFill>
              <w14:schemeClr w14:val="tx1"/>
            </w14:solidFill>
          </w14:textFill>
        </w:rPr>
      </w:pPr>
    </w:p>
    <w:p w14:paraId="7E88E05A">
      <w:pPr>
        <w:pStyle w:val="68"/>
        <w:shd w:val="clear" w:color="auto" w:fill="FFFFFF"/>
        <w:spacing w:before="0" w:beforeAutospacing="0" w:after="0" w:afterAutospacing="0" w:line="440" w:lineRule="exact"/>
        <w:ind w:firstLine="465"/>
        <w:rPr>
          <w:rFonts w:hint="eastAsia" w:ascii="宋体" w:hAnsi="宋体"/>
          <w:color w:val="000000" w:themeColor="text1"/>
          <w:spacing w:val="8"/>
          <w:highlight w:val="none"/>
          <w:shd w:val="clear" w:color="auto" w:fill="FFFFFF"/>
          <w14:textFill>
            <w14:solidFill>
              <w14:schemeClr w14:val="tx1"/>
            </w14:solidFill>
          </w14:textFill>
        </w:rPr>
      </w:pPr>
      <w:r>
        <w:rPr>
          <w:rFonts w:hint="eastAsia" w:ascii="宋体" w:hAnsi="宋体"/>
          <w:color w:val="000000" w:themeColor="text1"/>
          <w:spacing w:val="8"/>
          <w:highlight w:val="none"/>
          <w:shd w:val="clear" w:color="auto" w:fill="FFFFFF"/>
          <w:lang w:eastAsia="zh-CN"/>
          <w14:textFill>
            <w14:solidFill>
              <w14:schemeClr w14:val="tx1"/>
            </w14:solidFill>
          </w14:textFill>
        </w:rPr>
        <w:t>供应商</w:t>
      </w:r>
      <w:r>
        <w:rPr>
          <w:rFonts w:hint="eastAsia" w:ascii="宋体" w:hAnsi="宋体"/>
          <w:color w:val="000000" w:themeColor="text1"/>
          <w:spacing w:val="8"/>
          <w:highlight w:val="none"/>
          <w:shd w:val="clear" w:color="auto" w:fill="FFFFFF"/>
          <w14:textFill>
            <w14:solidFill>
              <w14:schemeClr w14:val="tx1"/>
            </w14:solidFill>
          </w14:textFill>
        </w:rPr>
        <w:t>名称：</w:t>
      </w:r>
      <w:r>
        <w:rPr>
          <w:rFonts w:hint="eastAsia" w:ascii="宋体" w:hAnsi="宋体"/>
          <w:color w:val="000000" w:themeColor="text1"/>
          <w:spacing w:val="8"/>
          <w:highlight w:val="none"/>
          <w:u w:val="single"/>
          <w:shd w:val="clear" w:color="auto" w:fill="FFFFFF"/>
          <w14:textFill>
            <w14:solidFill>
              <w14:schemeClr w14:val="tx1"/>
            </w14:solidFill>
          </w14:textFill>
        </w:rPr>
        <w:t xml:space="preserve">                                </w:t>
      </w:r>
      <w:r>
        <w:rPr>
          <w:rFonts w:hint="eastAsia" w:ascii="宋体" w:hAnsi="宋体"/>
          <w:color w:val="000000" w:themeColor="text1"/>
          <w:spacing w:val="8"/>
          <w:highlight w:val="none"/>
          <w:shd w:val="clear" w:color="auto" w:fill="FFFFFF"/>
          <w14:textFill>
            <w14:solidFill>
              <w14:schemeClr w14:val="tx1"/>
            </w14:solidFill>
          </w14:textFill>
        </w:rPr>
        <w:t>（</w:t>
      </w:r>
      <w:r>
        <w:rPr>
          <w:rFonts w:hint="eastAsia" w:ascii="宋体" w:hAnsi="宋体"/>
          <w:color w:val="000000" w:themeColor="text1"/>
          <w:highlight w:val="none"/>
          <w:lang w:val="zh-CN"/>
          <w14:textFill>
            <w14:solidFill>
              <w14:schemeClr w14:val="tx1"/>
            </w14:solidFill>
          </w14:textFill>
        </w:rPr>
        <w:t>电子印章</w:t>
      </w:r>
      <w:r>
        <w:rPr>
          <w:rFonts w:hint="eastAsia" w:ascii="宋体" w:hAnsi="宋体"/>
          <w:color w:val="000000" w:themeColor="text1"/>
          <w:spacing w:val="8"/>
          <w:highlight w:val="none"/>
          <w:shd w:val="clear" w:color="auto" w:fill="FFFFFF"/>
          <w14:textFill>
            <w14:solidFill>
              <w14:schemeClr w14:val="tx1"/>
            </w14:solidFill>
          </w14:textFill>
        </w:rPr>
        <w:t>）</w:t>
      </w:r>
    </w:p>
    <w:p w14:paraId="3E9619B7">
      <w:pPr>
        <w:pStyle w:val="68"/>
        <w:shd w:val="clear" w:color="auto" w:fill="FFFFFF"/>
        <w:spacing w:before="0" w:beforeAutospacing="0" w:after="0" w:afterAutospacing="0" w:line="440" w:lineRule="exact"/>
        <w:ind w:firstLine="465"/>
        <w:rPr>
          <w:rFonts w:hint="eastAsia" w:ascii="宋体" w:hAnsi="宋体"/>
          <w:color w:val="000000" w:themeColor="text1"/>
          <w:spacing w:val="8"/>
          <w:highlight w:val="none"/>
          <w:shd w:val="clear" w:color="auto" w:fill="FFFFFF"/>
          <w14:textFill>
            <w14:solidFill>
              <w14:schemeClr w14:val="tx1"/>
            </w14:solidFill>
          </w14:textFill>
        </w:rPr>
      </w:pPr>
      <w:r>
        <w:rPr>
          <w:rFonts w:hint="eastAsia" w:ascii="宋体" w:hAnsi="宋体"/>
          <w:color w:val="000000" w:themeColor="text1"/>
          <w:spacing w:val="8"/>
          <w:highlight w:val="none"/>
          <w:shd w:val="clear" w:color="auto" w:fill="FFFFFF"/>
          <w14:textFill>
            <w14:solidFill>
              <w14:schemeClr w14:val="tx1"/>
            </w14:solidFill>
          </w14:textFill>
        </w:rPr>
        <w:t>法定代表人：</w:t>
      </w:r>
      <w:r>
        <w:rPr>
          <w:rFonts w:hint="eastAsia" w:ascii="宋体" w:hAnsi="宋体"/>
          <w:color w:val="000000" w:themeColor="text1"/>
          <w:spacing w:val="8"/>
          <w:highlight w:val="none"/>
          <w:u w:val="single"/>
          <w:shd w:val="clear" w:color="auto" w:fill="FFFFFF"/>
          <w14:textFill>
            <w14:solidFill>
              <w14:schemeClr w14:val="tx1"/>
            </w14:solidFill>
          </w14:textFill>
        </w:rPr>
        <w:t xml:space="preserve">                       </w:t>
      </w:r>
      <w:r>
        <w:rPr>
          <w:rFonts w:hint="eastAsia" w:ascii="宋体" w:hAnsi="宋体"/>
          <w:color w:val="000000" w:themeColor="text1"/>
          <w:spacing w:val="8"/>
          <w:highlight w:val="none"/>
          <w:shd w:val="clear" w:color="auto" w:fill="FFFFFF"/>
          <w14:textFill>
            <w14:solidFill>
              <w14:schemeClr w14:val="tx1"/>
            </w14:solidFill>
          </w14:textFill>
        </w:rPr>
        <w:t>（</w:t>
      </w:r>
      <w:r>
        <w:rPr>
          <w:rFonts w:hint="eastAsia" w:ascii="宋体" w:hAnsi="宋体"/>
          <w:color w:val="000000" w:themeColor="text1"/>
          <w:highlight w:val="none"/>
          <w:lang w:val="zh-CN"/>
          <w14:textFill>
            <w14:solidFill>
              <w14:schemeClr w14:val="tx1"/>
            </w14:solidFill>
          </w14:textFill>
        </w:rPr>
        <w:t>电子签章</w:t>
      </w:r>
      <w:r>
        <w:rPr>
          <w:rFonts w:hint="eastAsia" w:ascii="宋体" w:hAnsi="宋体"/>
          <w:color w:val="000000" w:themeColor="text1"/>
          <w:spacing w:val="8"/>
          <w:highlight w:val="none"/>
          <w:shd w:val="clear" w:color="auto" w:fill="FFFFFF"/>
          <w14:textFill>
            <w14:solidFill>
              <w14:schemeClr w14:val="tx1"/>
            </w14:solidFill>
          </w14:textFill>
        </w:rPr>
        <w:t>）</w:t>
      </w:r>
    </w:p>
    <w:p w14:paraId="0299334F">
      <w:pPr>
        <w:pStyle w:val="68"/>
        <w:shd w:val="clear" w:color="auto" w:fill="FFFFFF"/>
        <w:spacing w:before="0" w:beforeAutospacing="0" w:after="0" w:afterAutospacing="0" w:line="440" w:lineRule="exact"/>
        <w:ind w:firstLine="465"/>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日       期：</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日</w:t>
      </w:r>
    </w:p>
    <w:p w14:paraId="6473A70D">
      <w:pPr>
        <w:rPr>
          <w:rFonts w:hint="eastAsia" w:ascii="宋体" w:hAnsi="宋体"/>
          <w:color w:val="000000" w:themeColor="text1"/>
          <w:highlight w:val="none"/>
          <w14:textFill>
            <w14:solidFill>
              <w14:schemeClr w14:val="tx1"/>
            </w14:solidFill>
          </w14:textFill>
        </w:rPr>
      </w:pPr>
    </w:p>
    <w:p w14:paraId="27FE011E">
      <w:pPr>
        <w:rPr>
          <w:rFonts w:hint="eastAsia" w:ascii="宋体" w:hAnsi="宋体"/>
          <w:color w:val="000000" w:themeColor="text1"/>
          <w:highlight w:val="none"/>
          <w14:textFill>
            <w14:solidFill>
              <w14:schemeClr w14:val="tx1"/>
            </w14:solidFill>
          </w14:textFill>
        </w:rPr>
      </w:pPr>
    </w:p>
    <w:p w14:paraId="67CEC383">
      <w:pPr>
        <w:rPr>
          <w:rFonts w:hint="eastAsia" w:ascii="宋体" w:hAnsi="宋体"/>
          <w:color w:val="000000" w:themeColor="text1"/>
          <w:highlight w:val="none"/>
          <w14:textFill>
            <w14:solidFill>
              <w14:schemeClr w14:val="tx1"/>
            </w14:solidFill>
          </w14:textFill>
        </w:rPr>
      </w:pPr>
    </w:p>
    <w:p w14:paraId="5C64A3F2">
      <w:pPr>
        <w:rPr>
          <w:rFonts w:hint="eastAsia" w:ascii="宋体" w:hAnsi="宋体"/>
          <w:color w:val="000000" w:themeColor="text1"/>
          <w:highlight w:val="none"/>
          <w14:textFill>
            <w14:solidFill>
              <w14:schemeClr w14:val="tx1"/>
            </w14:solidFill>
          </w14:textFill>
        </w:rPr>
      </w:pPr>
    </w:p>
    <w:p w14:paraId="73A061CA">
      <w:pPr>
        <w:rPr>
          <w:rFonts w:hint="eastAsia" w:ascii="宋体" w:hAnsi="宋体"/>
          <w:color w:val="000000" w:themeColor="text1"/>
          <w:highlight w:val="none"/>
          <w14:textFill>
            <w14:solidFill>
              <w14:schemeClr w14:val="tx1"/>
            </w14:solidFill>
          </w14:textFill>
        </w:rPr>
      </w:pPr>
    </w:p>
    <w:p w14:paraId="4AB14F32">
      <w:pPr>
        <w:rPr>
          <w:rFonts w:hint="eastAsia" w:ascii="宋体" w:hAnsi="宋体"/>
          <w:color w:val="000000" w:themeColor="text1"/>
          <w:highlight w:val="none"/>
          <w14:textFill>
            <w14:solidFill>
              <w14:schemeClr w14:val="tx1"/>
            </w14:solidFill>
          </w14:textFill>
        </w:rPr>
      </w:pPr>
    </w:p>
    <w:p w14:paraId="33900209">
      <w:pPr>
        <w:rPr>
          <w:rFonts w:hint="eastAsia" w:ascii="宋体" w:hAnsi="宋体"/>
          <w:color w:val="000000" w:themeColor="text1"/>
          <w:highlight w:val="none"/>
          <w14:textFill>
            <w14:solidFill>
              <w14:schemeClr w14:val="tx1"/>
            </w14:solidFill>
          </w14:textFill>
        </w:rPr>
      </w:pPr>
    </w:p>
    <w:p w14:paraId="7CEECC8B">
      <w:pPr>
        <w:rPr>
          <w:rFonts w:hint="eastAsia" w:ascii="宋体" w:hAnsi="宋体"/>
          <w:color w:val="000000" w:themeColor="text1"/>
          <w:highlight w:val="none"/>
          <w14:textFill>
            <w14:solidFill>
              <w14:schemeClr w14:val="tx1"/>
            </w14:solidFill>
          </w14:textFill>
        </w:rPr>
      </w:pPr>
    </w:p>
    <w:p w14:paraId="38CFEDAF">
      <w:pPr>
        <w:rPr>
          <w:rFonts w:hint="eastAsia" w:ascii="宋体" w:hAnsi="宋体"/>
          <w:color w:val="000000" w:themeColor="text1"/>
          <w:highlight w:val="none"/>
          <w14:textFill>
            <w14:solidFill>
              <w14:schemeClr w14:val="tx1"/>
            </w14:solidFill>
          </w14:textFill>
        </w:rPr>
      </w:pPr>
    </w:p>
    <w:p w14:paraId="0D209430">
      <w:pPr>
        <w:rPr>
          <w:rFonts w:hint="eastAsia" w:ascii="宋体" w:hAnsi="宋体"/>
          <w:color w:val="000000" w:themeColor="text1"/>
          <w:highlight w:val="none"/>
          <w14:textFill>
            <w14:solidFill>
              <w14:schemeClr w14:val="tx1"/>
            </w14:solidFill>
          </w14:textFill>
        </w:rPr>
      </w:pPr>
    </w:p>
    <w:p w14:paraId="3BB1A6C9">
      <w:pPr>
        <w:rPr>
          <w:rFonts w:hint="eastAsia" w:ascii="宋体" w:hAnsi="宋体"/>
          <w:color w:val="000000" w:themeColor="text1"/>
          <w:highlight w:val="none"/>
          <w14:textFill>
            <w14:solidFill>
              <w14:schemeClr w14:val="tx1"/>
            </w14:solidFill>
          </w14:textFill>
        </w:rPr>
      </w:pPr>
    </w:p>
    <w:p w14:paraId="6A1AA59B">
      <w:pPr>
        <w:rPr>
          <w:rFonts w:hint="eastAsia" w:ascii="宋体" w:hAnsi="宋体"/>
          <w:color w:val="000000" w:themeColor="text1"/>
          <w:highlight w:val="none"/>
          <w14:textFill>
            <w14:solidFill>
              <w14:schemeClr w14:val="tx1"/>
            </w14:solidFill>
          </w14:textFill>
        </w:rPr>
      </w:pPr>
    </w:p>
    <w:p w14:paraId="3E30576B">
      <w:pPr>
        <w:rPr>
          <w:rFonts w:hint="eastAsia" w:ascii="宋体" w:hAnsi="宋体"/>
          <w:color w:val="000000" w:themeColor="text1"/>
          <w:highlight w:val="none"/>
          <w14:textFill>
            <w14:solidFill>
              <w14:schemeClr w14:val="tx1"/>
            </w14:solidFill>
          </w14:textFill>
        </w:rPr>
      </w:pPr>
    </w:p>
    <w:p w14:paraId="7C352A39">
      <w:pPr>
        <w:rPr>
          <w:rFonts w:hint="eastAsia" w:ascii="宋体" w:hAnsi="宋体"/>
          <w:color w:val="000000" w:themeColor="text1"/>
          <w:highlight w:val="none"/>
          <w14:textFill>
            <w14:solidFill>
              <w14:schemeClr w14:val="tx1"/>
            </w14:solidFill>
          </w14:textFill>
        </w:rPr>
      </w:pPr>
    </w:p>
    <w:p w14:paraId="5720340F">
      <w:pPr>
        <w:pStyle w:val="68"/>
        <w:shd w:val="clear" w:color="auto" w:fill="FFFFFF"/>
        <w:jc w:val="center"/>
        <w:outlineLvl w:val="9"/>
        <w:rPr>
          <w:rFonts w:hint="eastAsia" w:ascii="宋体" w:hAnsi="宋体"/>
          <w:b/>
          <w:color w:val="000000" w:themeColor="text1"/>
          <w:sz w:val="28"/>
          <w:szCs w:val="28"/>
          <w:highlight w:val="none"/>
          <w14:textFill>
            <w14:solidFill>
              <w14:schemeClr w14:val="tx1"/>
            </w14:solidFill>
          </w14:textFill>
        </w:rPr>
      </w:pPr>
      <w:bookmarkStart w:id="151" w:name="_Toc17709"/>
      <w:bookmarkStart w:id="152" w:name="_Toc6856"/>
      <w:r>
        <w:rPr>
          <w:rFonts w:hint="eastAsia" w:ascii="宋体" w:hAnsi="宋体"/>
          <w:b/>
          <w:color w:val="000000" w:themeColor="text1"/>
          <w:sz w:val="28"/>
          <w:szCs w:val="28"/>
          <w:highlight w:val="none"/>
          <w14:textFill>
            <w14:solidFill>
              <w14:schemeClr w14:val="tx1"/>
            </w14:solidFill>
          </w14:textFill>
        </w:rPr>
        <w:t>2、招标代理服务费承诺函</w:t>
      </w:r>
      <w:bookmarkEnd w:id="151"/>
      <w:bookmarkEnd w:id="152"/>
    </w:p>
    <w:p w14:paraId="3453739C">
      <w:pPr>
        <w:pStyle w:val="68"/>
        <w:shd w:val="clear" w:color="auto" w:fill="FFFFFF"/>
        <w:spacing w:line="360" w:lineRule="auto"/>
        <w:ind w:firstLine="480"/>
        <w:rPr>
          <w:rFonts w:hint="eastAsia" w:ascii="宋体" w:hAnsi="宋体"/>
          <w:color w:val="000000" w:themeColor="text1"/>
          <w:highlight w:val="none"/>
          <w:lang w:val="zh-CN"/>
          <w14:textFill>
            <w14:solidFill>
              <w14:schemeClr w14:val="tx1"/>
            </w14:solidFill>
          </w14:textFill>
        </w:rPr>
      </w:pPr>
    </w:p>
    <w:p w14:paraId="6FDB3113">
      <w:pPr>
        <w:pStyle w:val="68"/>
        <w:shd w:val="clear" w:color="auto" w:fill="FFFFFF"/>
        <w:spacing w:line="360" w:lineRule="auto"/>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致</w:t>
      </w:r>
      <w:r>
        <w:rPr>
          <w:rFonts w:hint="eastAsia" w:ascii="宋体" w:hAnsi="宋体"/>
          <w:color w:val="000000" w:themeColor="text1"/>
          <w:highlight w:val="none"/>
          <w:u w:val="single"/>
          <w:lang w:val="zh-CN"/>
          <w14:textFill>
            <w14:solidFill>
              <w14:schemeClr w14:val="tx1"/>
            </w14:solidFill>
          </w14:textFill>
        </w:rPr>
        <w:t>（采购人及采购代理机构）</w:t>
      </w:r>
      <w:r>
        <w:rPr>
          <w:rFonts w:hint="eastAsia" w:ascii="宋体" w:hAnsi="宋体"/>
          <w:color w:val="000000" w:themeColor="text1"/>
          <w:highlight w:val="none"/>
          <w:lang w:val="zh-CN"/>
          <w14:textFill>
            <w14:solidFill>
              <w14:schemeClr w14:val="tx1"/>
            </w14:solidFill>
          </w14:textFill>
        </w:rPr>
        <w:t>：</w:t>
      </w:r>
    </w:p>
    <w:p w14:paraId="784FF598">
      <w:pPr>
        <w:pStyle w:val="68"/>
        <w:shd w:val="clear" w:color="auto" w:fill="FFFFFF"/>
        <w:spacing w:line="360" w:lineRule="auto"/>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我们在贵公司组织的（项目名称：</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lang w:val="zh-CN"/>
          <w14:textFill>
            <w14:solidFill>
              <w14:schemeClr w14:val="tx1"/>
            </w14:solidFill>
          </w14:textFill>
        </w:rPr>
        <w:t>，项目编号：</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lang w:val="zh-CN"/>
          <w14:textFill>
            <w14:solidFill>
              <w14:schemeClr w14:val="tx1"/>
            </w14:solidFill>
          </w14:textFill>
        </w:rPr>
        <w:t>）招标中若获中标，我们保证在中标公告发布后5个工作日内，按招标文件的规定，以支票、银行转账、汇票或现金，向</w:t>
      </w:r>
      <w:r>
        <w:rPr>
          <w:rFonts w:hint="eastAsia" w:ascii="宋体" w:hAnsi="宋体"/>
          <w:color w:val="000000" w:themeColor="text1"/>
          <w:highlight w:val="none"/>
          <w14:textFill>
            <w14:solidFill>
              <w14:schemeClr w14:val="tx1"/>
            </w14:solidFill>
          </w14:textFill>
        </w:rPr>
        <w:t>河南荣之鑫工程管理有限公司</w:t>
      </w:r>
      <w:r>
        <w:rPr>
          <w:rFonts w:hint="eastAsia" w:ascii="宋体" w:hAnsi="宋体"/>
          <w:color w:val="000000" w:themeColor="text1"/>
          <w:highlight w:val="none"/>
          <w:lang w:val="zh-CN"/>
          <w14:textFill>
            <w14:solidFill>
              <w14:schemeClr w14:val="tx1"/>
            </w14:solidFill>
          </w14:textFill>
        </w:rPr>
        <w:t>一次性支付招标代理服务费用。否则，由此产生的一切法律后果和责任由我公司承担。我公司声明放弃对此提出任何异议和追索的权利。</w:t>
      </w:r>
    </w:p>
    <w:p w14:paraId="2E46437D">
      <w:pPr>
        <w:pStyle w:val="68"/>
        <w:shd w:val="clear" w:color="auto" w:fill="FFFFFF"/>
        <w:spacing w:line="360" w:lineRule="auto"/>
        <w:ind w:firstLine="48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特此承诺。</w:t>
      </w:r>
    </w:p>
    <w:p w14:paraId="2CA6D367">
      <w:pPr>
        <w:pStyle w:val="68"/>
        <w:shd w:val="clear" w:color="auto" w:fill="FFFFFF"/>
        <w:spacing w:line="360" w:lineRule="auto"/>
        <w:ind w:firstLine="465"/>
        <w:rPr>
          <w:rFonts w:hint="eastAsia" w:ascii="宋体" w:hAnsi="宋体"/>
          <w:color w:val="000000" w:themeColor="text1"/>
          <w:spacing w:val="8"/>
          <w:highlight w:val="none"/>
          <w:shd w:val="clear" w:color="auto" w:fill="FFFFFF"/>
          <w14:textFill>
            <w14:solidFill>
              <w14:schemeClr w14:val="tx1"/>
            </w14:solidFill>
          </w14:textFill>
        </w:rPr>
      </w:pPr>
    </w:p>
    <w:p w14:paraId="1FEC9F55">
      <w:pPr>
        <w:pStyle w:val="68"/>
        <w:shd w:val="clear" w:color="auto" w:fill="FFFFFF"/>
        <w:spacing w:line="360" w:lineRule="auto"/>
        <w:ind w:firstLine="465"/>
        <w:rPr>
          <w:rFonts w:hint="eastAsia" w:ascii="宋体" w:hAnsi="宋体"/>
          <w:color w:val="000000" w:themeColor="text1"/>
          <w:spacing w:val="8"/>
          <w:highlight w:val="none"/>
          <w:shd w:val="clear" w:color="auto" w:fill="FFFFFF"/>
          <w14:textFill>
            <w14:solidFill>
              <w14:schemeClr w14:val="tx1"/>
            </w14:solidFill>
          </w14:textFill>
        </w:rPr>
      </w:pPr>
    </w:p>
    <w:p w14:paraId="145CDA41">
      <w:pPr>
        <w:pStyle w:val="68"/>
        <w:shd w:val="clear" w:color="auto" w:fill="FFFFFF"/>
        <w:spacing w:line="360" w:lineRule="auto"/>
        <w:ind w:firstLine="465"/>
        <w:rPr>
          <w:rFonts w:hint="eastAsia" w:ascii="宋体" w:hAnsi="宋体"/>
          <w:color w:val="000000" w:themeColor="text1"/>
          <w:spacing w:val="8"/>
          <w:highlight w:val="none"/>
          <w:shd w:val="clear" w:color="auto" w:fill="FFFFFF"/>
          <w14:textFill>
            <w14:solidFill>
              <w14:schemeClr w14:val="tx1"/>
            </w14:solidFill>
          </w14:textFill>
        </w:rPr>
      </w:pPr>
    </w:p>
    <w:p w14:paraId="6C8CA7CF">
      <w:pPr>
        <w:pStyle w:val="68"/>
        <w:shd w:val="clear" w:color="auto" w:fill="FFFFFF"/>
        <w:spacing w:line="360" w:lineRule="auto"/>
        <w:ind w:firstLine="465"/>
        <w:rPr>
          <w:rFonts w:hint="eastAsia" w:ascii="宋体" w:hAnsi="宋体"/>
          <w:color w:val="000000" w:themeColor="text1"/>
          <w:spacing w:val="8"/>
          <w:highlight w:val="none"/>
          <w:shd w:val="clear" w:color="auto" w:fill="FFFFFF"/>
          <w14:textFill>
            <w14:solidFill>
              <w14:schemeClr w14:val="tx1"/>
            </w14:solidFill>
          </w14:textFill>
        </w:rPr>
      </w:pPr>
    </w:p>
    <w:p w14:paraId="445297DF">
      <w:pPr>
        <w:pStyle w:val="68"/>
        <w:shd w:val="clear" w:color="auto" w:fill="FFFFFF"/>
        <w:spacing w:line="360" w:lineRule="auto"/>
        <w:ind w:firstLine="465"/>
        <w:rPr>
          <w:rFonts w:hint="eastAsia" w:ascii="宋体" w:hAnsi="宋体"/>
          <w:color w:val="000000" w:themeColor="text1"/>
          <w:spacing w:val="8"/>
          <w:highlight w:val="none"/>
          <w:shd w:val="clear" w:color="auto" w:fill="FFFFFF"/>
          <w14:textFill>
            <w14:solidFill>
              <w14:schemeClr w14:val="tx1"/>
            </w14:solidFill>
          </w14:textFill>
        </w:rPr>
      </w:pPr>
    </w:p>
    <w:p w14:paraId="5CA52A19">
      <w:pPr>
        <w:pStyle w:val="68"/>
        <w:shd w:val="clear" w:color="auto" w:fill="FFFFFF"/>
        <w:spacing w:line="360" w:lineRule="auto"/>
        <w:ind w:firstLine="465"/>
        <w:rPr>
          <w:rFonts w:hint="eastAsia" w:ascii="宋体" w:hAnsi="宋体"/>
          <w:color w:val="000000" w:themeColor="text1"/>
          <w:spacing w:val="8"/>
          <w:highlight w:val="none"/>
          <w:shd w:val="clear" w:color="auto" w:fill="FFFFFF"/>
          <w14:textFill>
            <w14:solidFill>
              <w14:schemeClr w14:val="tx1"/>
            </w14:solidFill>
          </w14:textFill>
        </w:rPr>
      </w:pPr>
      <w:r>
        <w:rPr>
          <w:rFonts w:hint="eastAsia" w:ascii="宋体" w:hAnsi="宋体"/>
          <w:color w:val="000000" w:themeColor="text1"/>
          <w:spacing w:val="8"/>
          <w:highlight w:val="none"/>
          <w:shd w:val="clear" w:color="auto" w:fill="FFFFFF"/>
          <w:lang w:eastAsia="zh-CN"/>
          <w14:textFill>
            <w14:solidFill>
              <w14:schemeClr w14:val="tx1"/>
            </w14:solidFill>
          </w14:textFill>
        </w:rPr>
        <w:t>供应商</w:t>
      </w:r>
      <w:r>
        <w:rPr>
          <w:rFonts w:hint="eastAsia" w:ascii="宋体" w:hAnsi="宋体"/>
          <w:color w:val="000000" w:themeColor="text1"/>
          <w:spacing w:val="8"/>
          <w:highlight w:val="none"/>
          <w:shd w:val="clear" w:color="auto" w:fill="FFFFFF"/>
          <w14:textFill>
            <w14:solidFill>
              <w14:schemeClr w14:val="tx1"/>
            </w14:solidFill>
          </w14:textFill>
        </w:rPr>
        <w:t>名称：</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spacing w:val="8"/>
          <w:highlight w:val="none"/>
          <w:shd w:val="clear" w:color="auto" w:fill="FFFFFF"/>
          <w14:textFill>
            <w14:solidFill>
              <w14:schemeClr w14:val="tx1"/>
            </w14:solidFill>
          </w14:textFill>
        </w:rPr>
        <w:t>（</w:t>
      </w:r>
      <w:r>
        <w:rPr>
          <w:rFonts w:hint="eastAsia" w:ascii="宋体" w:hAnsi="宋体"/>
          <w:color w:val="000000" w:themeColor="text1"/>
          <w:highlight w:val="none"/>
          <w:lang w:val="zh-CN"/>
          <w14:textFill>
            <w14:solidFill>
              <w14:schemeClr w14:val="tx1"/>
            </w14:solidFill>
          </w14:textFill>
        </w:rPr>
        <w:t>电子印章</w:t>
      </w:r>
      <w:r>
        <w:rPr>
          <w:rFonts w:hint="eastAsia" w:ascii="宋体" w:hAnsi="宋体"/>
          <w:color w:val="000000" w:themeColor="text1"/>
          <w:spacing w:val="8"/>
          <w:highlight w:val="none"/>
          <w:shd w:val="clear" w:color="auto" w:fill="FFFFFF"/>
          <w14:textFill>
            <w14:solidFill>
              <w14:schemeClr w14:val="tx1"/>
            </w14:solidFill>
          </w14:textFill>
        </w:rPr>
        <w:t>）</w:t>
      </w:r>
    </w:p>
    <w:p w14:paraId="4CB3A830">
      <w:pPr>
        <w:pStyle w:val="68"/>
        <w:shd w:val="clear" w:color="auto" w:fill="FFFFFF"/>
        <w:spacing w:line="360" w:lineRule="auto"/>
        <w:ind w:firstLine="465"/>
        <w:rPr>
          <w:rFonts w:hint="eastAsia" w:ascii="宋体" w:hAnsi="宋体"/>
          <w:color w:val="000000" w:themeColor="text1"/>
          <w:spacing w:val="8"/>
          <w:highlight w:val="none"/>
          <w:shd w:val="clear" w:color="auto" w:fill="FFFFFF"/>
          <w14:textFill>
            <w14:solidFill>
              <w14:schemeClr w14:val="tx1"/>
            </w14:solidFill>
          </w14:textFill>
        </w:rPr>
      </w:pPr>
      <w:r>
        <w:rPr>
          <w:rFonts w:hint="eastAsia" w:ascii="宋体" w:hAnsi="宋体"/>
          <w:color w:val="000000" w:themeColor="text1"/>
          <w:spacing w:val="8"/>
          <w:highlight w:val="none"/>
          <w:shd w:val="clear" w:color="auto" w:fill="FFFFFF"/>
          <w14:textFill>
            <w14:solidFill>
              <w14:schemeClr w14:val="tx1"/>
            </w14:solidFill>
          </w14:textFill>
        </w:rPr>
        <w:t>法定代表人：</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spacing w:val="8"/>
          <w:highlight w:val="none"/>
          <w:shd w:val="clear" w:color="auto" w:fill="FFFFFF"/>
          <w14:textFill>
            <w14:solidFill>
              <w14:schemeClr w14:val="tx1"/>
            </w14:solidFill>
          </w14:textFill>
        </w:rPr>
        <w:t>（</w:t>
      </w:r>
      <w:r>
        <w:rPr>
          <w:rFonts w:hint="eastAsia" w:ascii="宋体" w:hAnsi="宋体"/>
          <w:color w:val="000000" w:themeColor="text1"/>
          <w:highlight w:val="none"/>
          <w:lang w:val="zh-CN"/>
          <w14:textFill>
            <w14:solidFill>
              <w14:schemeClr w14:val="tx1"/>
            </w14:solidFill>
          </w14:textFill>
        </w:rPr>
        <w:t>电子签章</w:t>
      </w:r>
      <w:r>
        <w:rPr>
          <w:rFonts w:hint="eastAsia" w:ascii="宋体" w:hAnsi="宋体"/>
          <w:color w:val="000000" w:themeColor="text1"/>
          <w:spacing w:val="8"/>
          <w:highlight w:val="none"/>
          <w:shd w:val="clear" w:color="auto" w:fill="FFFFFF"/>
          <w14:textFill>
            <w14:solidFill>
              <w14:schemeClr w14:val="tx1"/>
            </w14:solidFill>
          </w14:textFill>
        </w:rPr>
        <w:t>）</w:t>
      </w:r>
    </w:p>
    <w:p w14:paraId="136551FB">
      <w:pPr>
        <w:pStyle w:val="68"/>
        <w:shd w:val="clear" w:color="auto" w:fill="FFFFFF"/>
        <w:spacing w:line="360" w:lineRule="auto"/>
        <w:ind w:firstLine="465"/>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日       期：</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日</w:t>
      </w:r>
    </w:p>
    <w:p w14:paraId="61545400">
      <w:pPr>
        <w:jc w:val="center"/>
        <w:rPr>
          <w:rFonts w:hint="eastAsia" w:ascii="宋体" w:hAnsi="宋体"/>
          <w:b/>
          <w:bCs/>
          <w:color w:val="000000" w:themeColor="text1"/>
          <w:sz w:val="32"/>
          <w:szCs w:val="32"/>
          <w:highlight w:val="none"/>
          <w14:textFill>
            <w14:solidFill>
              <w14:schemeClr w14:val="tx1"/>
            </w14:solidFill>
          </w14:textFill>
        </w:rPr>
      </w:pPr>
    </w:p>
    <w:p w14:paraId="136333D3">
      <w:pPr>
        <w:rPr>
          <w:rFonts w:hint="eastAsia" w:ascii="宋体" w:hAnsi="宋体"/>
          <w:color w:val="000000" w:themeColor="text1"/>
          <w:highlight w:val="none"/>
          <w14:textFill>
            <w14:solidFill>
              <w14:schemeClr w14:val="tx1"/>
            </w14:solidFill>
          </w14:textFill>
        </w:rPr>
      </w:pPr>
    </w:p>
    <w:p w14:paraId="038CDFB5">
      <w:pPr>
        <w:rPr>
          <w:rFonts w:hint="eastAsia" w:ascii="宋体" w:hAnsi="宋体"/>
          <w:color w:val="000000" w:themeColor="text1"/>
          <w:highlight w:val="none"/>
          <w14:textFill>
            <w14:solidFill>
              <w14:schemeClr w14:val="tx1"/>
            </w14:solidFill>
          </w14:textFill>
        </w:rPr>
      </w:pPr>
    </w:p>
    <w:p w14:paraId="294829B3">
      <w:pPr>
        <w:rPr>
          <w:rFonts w:hint="eastAsia" w:ascii="宋体" w:hAnsi="宋体"/>
          <w:color w:val="000000" w:themeColor="text1"/>
          <w:highlight w:val="none"/>
          <w14:textFill>
            <w14:solidFill>
              <w14:schemeClr w14:val="tx1"/>
            </w14:solidFill>
          </w14:textFill>
        </w:rPr>
      </w:pPr>
    </w:p>
    <w:bookmarkEnd w:id="148"/>
    <w:p w14:paraId="1C7C5F5F">
      <w:pPr>
        <w:jc w:val="center"/>
        <w:outlineLvl w:val="1"/>
        <w:rPr>
          <w:rFonts w:hint="eastAsia" w:ascii="宋体" w:hAnsi="宋体"/>
          <w:b/>
          <w:bCs/>
          <w:color w:val="000000" w:themeColor="text1"/>
          <w:sz w:val="32"/>
          <w:szCs w:val="32"/>
          <w:highlight w:val="none"/>
          <w14:textFill>
            <w14:solidFill>
              <w14:schemeClr w14:val="tx1"/>
            </w14:solidFill>
          </w14:textFill>
        </w:rPr>
      </w:pPr>
      <w:bookmarkStart w:id="153" w:name="_Toc24433"/>
      <w:bookmarkStart w:id="154" w:name="_Toc28677"/>
      <w:r>
        <w:rPr>
          <w:rFonts w:hint="eastAsia" w:ascii="宋体" w:hAnsi="宋体"/>
          <w:b/>
          <w:bCs/>
          <w:color w:val="000000" w:themeColor="text1"/>
          <w:sz w:val="32"/>
          <w:szCs w:val="32"/>
          <w:highlight w:val="none"/>
          <w14:textFill>
            <w14:solidFill>
              <w14:schemeClr w14:val="tx1"/>
            </w14:solidFill>
          </w14:textFill>
        </w:rPr>
        <w:t>八．资格审查资料</w:t>
      </w:r>
      <w:bookmarkEnd w:id="153"/>
      <w:bookmarkEnd w:id="154"/>
    </w:p>
    <w:p w14:paraId="3B269853">
      <w:pPr>
        <w:jc w:val="center"/>
        <w:rPr>
          <w:rFonts w:hint="eastAsia" w:ascii="宋体" w:hAnsi="宋体"/>
          <w:color w:val="000000" w:themeColor="text1"/>
          <w:sz w:val="44"/>
          <w:szCs w:val="44"/>
          <w:highlight w:val="none"/>
          <w14:textFill>
            <w14:solidFill>
              <w14:schemeClr w14:val="tx1"/>
            </w14:solidFill>
          </w14:textFill>
        </w:rPr>
      </w:pPr>
    </w:p>
    <w:p w14:paraId="42F839E9">
      <w:pPr>
        <w:spacing w:line="440" w:lineRule="exact"/>
        <w:rPr>
          <w:rFonts w:hint="eastAsia" w:ascii="宋体" w:hAnsi="宋体"/>
          <w:color w:val="000000" w:themeColor="text1"/>
          <w:sz w:val="24"/>
          <w:szCs w:val="24"/>
          <w:highlight w:val="none"/>
          <w14:textFill>
            <w14:solidFill>
              <w14:schemeClr w14:val="tx1"/>
            </w14:solidFill>
          </w14:textFill>
        </w:rPr>
      </w:pPr>
    </w:p>
    <w:p w14:paraId="7C2A5E29">
      <w:pPr>
        <w:spacing w:line="440" w:lineRule="exact"/>
        <w:rPr>
          <w:rFonts w:hint="eastAsia" w:ascii="宋体" w:hAnsi="宋体"/>
          <w:color w:val="000000" w:themeColor="text1"/>
          <w:sz w:val="24"/>
          <w:szCs w:val="24"/>
          <w:highlight w:val="none"/>
          <w14:textFill>
            <w14:solidFill>
              <w14:schemeClr w14:val="tx1"/>
            </w14:solidFill>
          </w14:textFill>
        </w:rPr>
      </w:pPr>
    </w:p>
    <w:p w14:paraId="531F8E49">
      <w:pPr>
        <w:spacing w:line="440" w:lineRule="exact"/>
        <w:rPr>
          <w:rFonts w:hint="eastAsia" w:ascii="宋体" w:hAnsi="宋体"/>
          <w:color w:val="000000" w:themeColor="text1"/>
          <w:sz w:val="24"/>
          <w:szCs w:val="24"/>
          <w:highlight w:val="none"/>
          <w14:textFill>
            <w14:solidFill>
              <w14:schemeClr w14:val="tx1"/>
            </w14:solidFill>
          </w14:textFill>
        </w:rPr>
      </w:pPr>
    </w:p>
    <w:p w14:paraId="79752004">
      <w:pPr>
        <w:spacing w:line="440" w:lineRule="exact"/>
        <w:rPr>
          <w:rFonts w:hint="eastAsia" w:ascii="宋体" w:hAnsi="宋体"/>
          <w:color w:val="000000" w:themeColor="text1"/>
          <w:sz w:val="24"/>
          <w:szCs w:val="24"/>
          <w:highlight w:val="none"/>
          <w14:textFill>
            <w14:solidFill>
              <w14:schemeClr w14:val="tx1"/>
            </w14:solidFill>
          </w14:textFill>
        </w:rPr>
      </w:pPr>
    </w:p>
    <w:p w14:paraId="3EEE21AF">
      <w:pPr>
        <w:spacing w:line="440" w:lineRule="exact"/>
        <w:jc w:val="center"/>
        <w:rPr>
          <w:rFonts w:hint="eastAsia" w:ascii="宋体" w:hAnsi="宋体"/>
          <w:b/>
          <w:bCs/>
          <w:color w:val="000000" w:themeColor="text1"/>
          <w:sz w:val="24"/>
          <w:szCs w:val="24"/>
          <w:highlight w:val="none"/>
          <w14:textFill>
            <w14:solidFill>
              <w14:schemeClr w14:val="tx1"/>
            </w14:solidFill>
          </w14:textFill>
        </w:rPr>
      </w:pPr>
    </w:p>
    <w:p w14:paraId="05456818">
      <w:pPr>
        <w:spacing w:line="440" w:lineRule="exact"/>
        <w:jc w:val="center"/>
        <w:rPr>
          <w:rFonts w:hint="eastAsia" w:ascii="宋体" w:hAnsi="宋体"/>
          <w:color w:val="000000" w:themeColor="text1"/>
          <w:sz w:val="24"/>
          <w:szCs w:val="24"/>
          <w:highlight w:val="none"/>
          <w14:textFill>
            <w14:solidFill>
              <w14:schemeClr w14:val="tx1"/>
            </w14:solidFill>
          </w14:textFill>
        </w:rPr>
      </w:pPr>
    </w:p>
    <w:p w14:paraId="5768C396">
      <w:pPr>
        <w:spacing w:line="440" w:lineRule="exact"/>
        <w:jc w:val="center"/>
        <w:rPr>
          <w:rFonts w:hint="eastAsia" w:ascii="宋体" w:hAnsi="宋体"/>
          <w:color w:val="000000" w:themeColor="text1"/>
          <w:sz w:val="24"/>
          <w:szCs w:val="24"/>
          <w:highlight w:val="none"/>
          <w14:textFill>
            <w14:solidFill>
              <w14:schemeClr w14:val="tx1"/>
            </w14:solidFill>
          </w14:textFill>
        </w:rPr>
      </w:pPr>
    </w:p>
    <w:p w14:paraId="2D804510">
      <w:pPr>
        <w:spacing w:line="440" w:lineRule="exact"/>
        <w:jc w:val="center"/>
        <w:outlineLvl w:val="1"/>
        <w:rPr>
          <w:rFonts w:hint="eastAsia" w:ascii="宋体" w:hAnsi="宋体"/>
          <w:b/>
          <w:bCs/>
          <w:color w:val="000000" w:themeColor="text1"/>
          <w:sz w:val="32"/>
          <w:szCs w:val="32"/>
          <w:highlight w:val="none"/>
          <w14:textFill>
            <w14:solidFill>
              <w14:schemeClr w14:val="tx1"/>
            </w14:solidFill>
          </w14:textFill>
        </w:rPr>
      </w:pPr>
      <w:bookmarkStart w:id="155" w:name="_Toc28614"/>
      <w:bookmarkEnd w:id="155"/>
      <w:r>
        <w:rPr>
          <w:rFonts w:hint="eastAsia" w:ascii="宋体" w:hAnsi="宋体"/>
          <w:b/>
          <w:bCs/>
          <w:color w:val="000000" w:themeColor="text1"/>
          <w:sz w:val="32"/>
          <w:szCs w:val="32"/>
          <w:highlight w:val="none"/>
          <w14:textFill>
            <w14:solidFill>
              <w14:schemeClr w14:val="tx1"/>
            </w14:solidFill>
          </w14:textFill>
        </w:rPr>
        <w:br w:type="page"/>
      </w:r>
      <w:bookmarkStart w:id="156" w:name="_Toc3669"/>
      <w:bookmarkStart w:id="157" w:name="_Toc359"/>
      <w:r>
        <w:rPr>
          <w:rFonts w:hint="eastAsia" w:ascii="宋体" w:hAnsi="宋体"/>
          <w:b/>
          <w:bCs/>
          <w:color w:val="000000" w:themeColor="text1"/>
          <w:sz w:val="32"/>
          <w:szCs w:val="32"/>
          <w:highlight w:val="none"/>
          <w14:textFill>
            <w14:solidFill>
              <w14:schemeClr w14:val="tx1"/>
            </w14:solidFill>
          </w14:textFill>
        </w:rPr>
        <w:t>九．</w:t>
      </w:r>
      <w:r>
        <w:rPr>
          <w:rFonts w:hint="eastAsia" w:ascii="宋体" w:hAnsi="宋体"/>
          <w:b/>
          <w:bCs/>
          <w:color w:val="000000" w:themeColor="text1"/>
          <w:sz w:val="32"/>
          <w:szCs w:val="32"/>
          <w:highlight w:val="none"/>
          <w:lang w:eastAsia="zh-CN"/>
          <w14:textFill>
            <w14:solidFill>
              <w14:schemeClr w14:val="tx1"/>
            </w14:solidFill>
          </w14:textFill>
        </w:rPr>
        <w:t>供应商</w:t>
      </w:r>
      <w:r>
        <w:rPr>
          <w:rFonts w:hint="eastAsia" w:ascii="宋体" w:hAnsi="宋体"/>
          <w:b/>
          <w:bCs/>
          <w:color w:val="000000" w:themeColor="text1"/>
          <w:sz w:val="32"/>
          <w:szCs w:val="32"/>
          <w:highlight w:val="none"/>
          <w14:textFill>
            <w14:solidFill>
              <w14:schemeClr w14:val="tx1"/>
            </w14:solidFill>
          </w14:textFill>
        </w:rPr>
        <w:t>认为有必要的其它资料</w:t>
      </w:r>
      <w:bookmarkEnd w:id="156"/>
      <w:bookmarkEnd w:id="157"/>
    </w:p>
    <w:p w14:paraId="5DE7538A">
      <w:pPr>
        <w:spacing w:line="440" w:lineRule="exact"/>
        <w:jc w:val="center"/>
        <w:rPr>
          <w:rFonts w:hint="eastAsia" w:ascii="宋体" w:hAnsi="宋体"/>
          <w:b/>
          <w:bCs/>
          <w:color w:val="000000" w:themeColor="text1"/>
          <w:sz w:val="24"/>
          <w:szCs w:val="24"/>
          <w:highlight w:val="none"/>
          <w14:textFill>
            <w14:solidFill>
              <w14:schemeClr w14:val="tx1"/>
            </w14:solidFill>
          </w14:textFill>
        </w:rPr>
      </w:pPr>
    </w:p>
    <w:p w14:paraId="1D0A7253">
      <w:pPr>
        <w:spacing w:line="440" w:lineRule="exact"/>
        <w:jc w:val="center"/>
        <w:rPr>
          <w:rFonts w:hint="eastAsia" w:ascii="宋体" w:hAnsi="宋体"/>
          <w:color w:val="000000" w:themeColor="text1"/>
          <w:sz w:val="24"/>
          <w:szCs w:val="24"/>
          <w:highlight w:val="none"/>
          <w14:textFill>
            <w14:solidFill>
              <w14:schemeClr w14:val="tx1"/>
            </w14:solidFill>
          </w14:textFill>
        </w:rPr>
      </w:pPr>
    </w:p>
    <w:p w14:paraId="3AF7EAFE">
      <w:pPr>
        <w:rPr>
          <w:rFonts w:hint="eastAsia" w:ascii="宋体" w:hAnsi="宋体"/>
          <w:color w:val="000000" w:themeColor="text1"/>
          <w:highlight w:val="none"/>
          <w14:textFill>
            <w14:solidFill>
              <w14:schemeClr w14:val="tx1"/>
            </w14:solidFill>
          </w14:textFill>
        </w:rPr>
      </w:pPr>
    </w:p>
    <w:p w14:paraId="71B7EEC3">
      <w:pPr>
        <w:rPr>
          <w:rFonts w:hint="eastAsia" w:ascii="宋体" w:hAnsi="宋体"/>
          <w:color w:val="000000" w:themeColor="text1"/>
          <w:highlight w:val="none"/>
          <w14:textFill>
            <w14:solidFill>
              <w14:schemeClr w14:val="tx1"/>
            </w14:solidFill>
          </w14:textFill>
        </w:rPr>
      </w:pPr>
    </w:p>
    <w:p w14:paraId="62850119">
      <w:pPr>
        <w:rPr>
          <w:rFonts w:hint="eastAsia" w:ascii="宋体" w:hAnsi="宋体"/>
          <w:color w:val="000000" w:themeColor="text1"/>
          <w:highlight w:val="none"/>
          <w14:textFill>
            <w14:solidFill>
              <w14:schemeClr w14:val="tx1"/>
            </w14:solidFill>
          </w14:textFill>
        </w:rPr>
      </w:pPr>
    </w:p>
    <w:p w14:paraId="2AF0E2D4">
      <w:pPr>
        <w:pStyle w:val="55"/>
        <w:rPr>
          <w:rFonts w:hint="eastAsia" w:ascii="宋体" w:hAnsi="宋体"/>
          <w:color w:val="000000" w:themeColor="text1"/>
          <w:highlight w:val="none"/>
          <w14:textFill>
            <w14:solidFill>
              <w14:schemeClr w14:val="tx1"/>
            </w14:solidFill>
          </w14:textFill>
        </w:rPr>
      </w:pPr>
    </w:p>
    <w:p w14:paraId="190024D2">
      <w:pPr>
        <w:pStyle w:val="55"/>
        <w:rPr>
          <w:rFonts w:hint="eastAsia" w:ascii="宋体" w:hAnsi="宋体"/>
          <w:color w:val="000000" w:themeColor="text1"/>
          <w:highlight w:val="none"/>
          <w14:textFill>
            <w14:solidFill>
              <w14:schemeClr w14:val="tx1"/>
            </w14:solidFill>
          </w14:textFill>
        </w:rPr>
      </w:pPr>
    </w:p>
    <w:p w14:paraId="0AA025CC">
      <w:pPr>
        <w:pStyle w:val="55"/>
        <w:rPr>
          <w:rFonts w:hint="eastAsia" w:ascii="宋体" w:hAnsi="宋体"/>
          <w:color w:val="000000" w:themeColor="text1"/>
          <w:highlight w:val="none"/>
          <w14:textFill>
            <w14:solidFill>
              <w14:schemeClr w14:val="tx1"/>
            </w14:solidFill>
          </w14:textFill>
        </w:rPr>
      </w:pPr>
    </w:p>
    <w:p w14:paraId="0326308D">
      <w:pPr>
        <w:pStyle w:val="55"/>
        <w:rPr>
          <w:rFonts w:hint="eastAsia" w:ascii="宋体" w:hAnsi="宋体"/>
          <w:color w:val="000000" w:themeColor="text1"/>
          <w:highlight w:val="none"/>
          <w14:textFill>
            <w14:solidFill>
              <w14:schemeClr w14:val="tx1"/>
            </w14:solidFill>
          </w14:textFill>
        </w:rPr>
      </w:pPr>
    </w:p>
    <w:p w14:paraId="2BF23F59">
      <w:pPr>
        <w:pStyle w:val="55"/>
        <w:rPr>
          <w:rFonts w:hint="eastAsia" w:ascii="宋体" w:hAnsi="宋体"/>
          <w:color w:val="000000" w:themeColor="text1"/>
          <w:highlight w:val="none"/>
          <w14:textFill>
            <w14:solidFill>
              <w14:schemeClr w14:val="tx1"/>
            </w14:solidFill>
          </w14:textFill>
        </w:rPr>
      </w:pPr>
    </w:p>
    <w:p w14:paraId="40A85028">
      <w:pPr>
        <w:pStyle w:val="55"/>
        <w:rPr>
          <w:rFonts w:hint="eastAsia" w:ascii="宋体" w:hAnsi="宋体"/>
          <w:color w:val="000000" w:themeColor="text1"/>
          <w:highlight w:val="none"/>
          <w14:textFill>
            <w14:solidFill>
              <w14:schemeClr w14:val="tx1"/>
            </w14:solidFill>
          </w14:textFill>
        </w:rPr>
      </w:pPr>
    </w:p>
    <w:p w14:paraId="5AFB4B84">
      <w:pPr>
        <w:pStyle w:val="55"/>
        <w:rPr>
          <w:rFonts w:hint="eastAsia" w:ascii="宋体" w:hAnsi="宋体"/>
          <w:color w:val="000000" w:themeColor="text1"/>
          <w:highlight w:val="none"/>
          <w14:textFill>
            <w14:solidFill>
              <w14:schemeClr w14:val="tx1"/>
            </w14:solidFill>
          </w14:textFill>
        </w:rPr>
      </w:pPr>
    </w:p>
    <w:p w14:paraId="4E06F139">
      <w:pPr>
        <w:pStyle w:val="55"/>
        <w:rPr>
          <w:rFonts w:hint="eastAsia" w:ascii="宋体" w:hAnsi="宋体"/>
          <w:color w:val="000000" w:themeColor="text1"/>
          <w:highlight w:val="none"/>
          <w14:textFill>
            <w14:solidFill>
              <w14:schemeClr w14:val="tx1"/>
            </w14:solidFill>
          </w14:textFill>
        </w:rPr>
      </w:pPr>
    </w:p>
    <w:p w14:paraId="5FE4925B">
      <w:pPr>
        <w:pStyle w:val="55"/>
        <w:rPr>
          <w:rFonts w:hint="eastAsia" w:ascii="宋体" w:hAnsi="宋体"/>
          <w:color w:val="000000" w:themeColor="text1"/>
          <w:highlight w:val="none"/>
          <w14:textFill>
            <w14:solidFill>
              <w14:schemeClr w14:val="tx1"/>
            </w14:solidFill>
          </w14:textFill>
        </w:rPr>
      </w:pPr>
    </w:p>
    <w:p w14:paraId="1C42FB66">
      <w:pPr>
        <w:pStyle w:val="55"/>
        <w:rPr>
          <w:rFonts w:hint="eastAsia" w:ascii="宋体" w:hAnsi="宋体"/>
          <w:color w:val="000000" w:themeColor="text1"/>
          <w:highlight w:val="none"/>
          <w14:textFill>
            <w14:solidFill>
              <w14:schemeClr w14:val="tx1"/>
            </w14:solidFill>
          </w14:textFill>
        </w:rPr>
      </w:pPr>
    </w:p>
    <w:p w14:paraId="59B8C435">
      <w:pPr>
        <w:pStyle w:val="55"/>
        <w:rPr>
          <w:rFonts w:hint="eastAsia" w:ascii="宋体" w:hAnsi="宋体"/>
          <w:color w:val="000000" w:themeColor="text1"/>
          <w:highlight w:val="none"/>
          <w14:textFill>
            <w14:solidFill>
              <w14:schemeClr w14:val="tx1"/>
            </w14:solidFill>
          </w14:textFill>
        </w:rPr>
      </w:pPr>
    </w:p>
    <w:p w14:paraId="37C2D855">
      <w:pPr>
        <w:spacing w:line="276" w:lineRule="auto"/>
        <w:jc w:val="center"/>
        <w:rPr>
          <w:rFonts w:hint="eastAsia" w:ascii="宋体" w:hAnsi="宋体"/>
          <w:color w:val="000000" w:themeColor="text1"/>
          <w:sz w:val="30"/>
          <w:szCs w:val="30"/>
          <w:highlight w:val="none"/>
          <w14:textFill>
            <w14:solidFill>
              <w14:schemeClr w14:val="tx1"/>
            </w14:solidFill>
          </w14:textFill>
        </w:rPr>
      </w:pPr>
    </w:p>
    <w:p w14:paraId="653D681E">
      <w:pPr>
        <w:spacing w:line="276" w:lineRule="auto"/>
        <w:jc w:val="center"/>
        <w:rPr>
          <w:rFonts w:hint="eastAsia" w:ascii="宋体" w:hAnsi="宋体"/>
          <w:color w:val="000000" w:themeColor="text1"/>
          <w:sz w:val="30"/>
          <w:szCs w:val="30"/>
          <w:highlight w:val="none"/>
          <w14:textFill>
            <w14:solidFill>
              <w14:schemeClr w14:val="tx1"/>
            </w14:solidFill>
          </w14:textFill>
        </w:rPr>
      </w:pPr>
    </w:p>
    <w:p w14:paraId="614D47C6">
      <w:pPr>
        <w:spacing w:line="276" w:lineRule="auto"/>
        <w:jc w:val="center"/>
        <w:rPr>
          <w:rFonts w:hint="eastAsia" w:ascii="宋体" w:hAnsi="宋体"/>
          <w:color w:val="000000" w:themeColor="text1"/>
          <w:sz w:val="30"/>
          <w:szCs w:val="30"/>
          <w:highlight w:val="none"/>
          <w14:textFill>
            <w14:solidFill>
              <w14:schemeClr w14:val="tx1"/>
            </w14:solidFill>
          </w14:textFill>
        </w:rPr>
      </w:pPr>
    </w:p>
    <w:p w14:paraId="36A07D82">
      <w:pPr>
        <w:spacing w:line="276" w:lineRule="auto"/>
        <w:jc w:val="center"/>
        <w:rPr>
          <w:rFonts w:hint="eastAsia" w:ascii="宋体" w:hAnsi="宋体"/>
          <w:color w:val="000000" w:themeColor="text1"/>
          <w:sz w:val="30"/>
          <w:szCs w:val="30"/>
          <w:highlight w:val="none"/>
          <w14:textFill>
            <w14:solidFill>
              <w14:schemeClr w14:val="tx1"/>
            </w14:solidFill>
          </w14:textFill>
        </w:rPr>
      </w:pPr>
    </w:p>
    <w:p w14:paraId="670B3D4B">
      <w:pPr>
        <w:spacing w:line="276" w:lineRule="auto"/>
        <w:jc w:val="center"/>
        <w:rPr>
          <w:rFonts w:hint="eastAsia" w:ascii="宋体" w:hAnsi="宋体"/>
          <w:color w:val="000000" w:themeColor="text1"/>
          <w:sz w:val="30"/>
          <w:szCs w:val="30"/>
          <w:highlight w:val="none"/>
          <w14:textFill>
            <w14:solidFill>
              <w14:schemeClr w14:val="tx1"/>
            </w14:solidFill>
          </w14:textFill>
        </w:rPr>
      </w:pPr>
    </w:p>
    <w:p w14:paraId="6AC0313D">
      <w:pPr>
        <w:spacing w:line="276" w:lineRule="auto"/>
        <w:jc w:val="center"/>
        <w:rPr>
          <w:rFonts w:hint="eastAsia" w:ascii="宋体" w:hAnsi="宋体"/>
          <w:color w:val="000000" w:themeColor="text1"/>
          <w:sz w:val="30"/>
          <w:szCs w:val="30"/>
          <w:highlight w:val="none"/>
          <w14:textFill>
            <w14:solidFill>
              <w14:schemeClr w14:val="tx1"/>
            </w14:solidFill>
          </w14:textFill>
        </w:rPr>
      </w:pPr>
    </w:p>
    <w:p w14:paraId="6D793F3B">
      <w:pPr>
        <w:spacing w:line="276" w:lineRule="auto"/>
        <w:jc w:val="center"/>
        <w:rPr>
          <w:rFonts w:hint="eastAsia" w:ascii="宋体" w:hAnsi="宋体"/>
          <w:color w:val="000000" w:themeColor="text1"/>
          <w:sz w:val="30"/>
          <w:szCs w:val="30"/>
          <w:highlight w:val="none"/>
          <w14:textFill>
            <w14:solidFill>
              <w14:schemeClr w14:val="tx1"/>
            </w14:solidFill>
          </w14:textFill>
        </w:rPr>
      </w:pPr>
    </w:p>
    <w:p w14:paraId="49E1CB44">
      <w:pPr>
        <w:spacing w:line="276" w:lineRule="auto"/>
        <w:jc w:val="left"/>
        <w:rPr>
          <w:rFonts w:ascii="宋体" w:hAnsi="Courier New"/>
          <w:b/>
          <w:bCs/>
          <w:color w:val="000000" w:themeColor="text1"/>
          <w:kern w:val="0"/>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br w:type="page"/>
      </w:r>
      <w:r>
        <w:rPr>
          <w:rFonts w:hint="eastAsia"/>
          <w:b/>
          <w:bCs/>
          <w:color w:val="000000" w:themeColor="text1"/>
          <w:sz w:val="24"/>
          <w:szCs w:val="24"/>
          <w:highlight w:val="none"/>
          <w14:textFill>
            <w14:solidFill>
              <w14:schemeClr w14:val="tx1"/>
            </w14:solidFill>
          </w14:textFill>
        </w:rPr>
        <w:t>附件1：</w:t>
      </w:r>
      <w:r>
        <w:rPr>
          <w:rFonts w:hint="eastAsia" w:ascii="宋体" w:hAnsi="Courier New"/>
          <w:b/>
          <w:bCs/>
          <w:color w:val="000000" w:themeColor="text1"/>
          <w:kern w:val="0"/>
          <w:sz w:val="24"/>
          <w:szCs w:val="24"/>
          <w:highlight w:val="none"/>
          <w14:textFill>
            <w14:solidFill>
              <w14:schemeClr w14:val="tx1"/>
            </w14:solidFill>
          </w14:textFill>
        </w:rPr>
        <w:t>河南省政府采购合同融资告知函</w:t>
      </w:r>
    </w:p>
    <w:p w14:paraId="02BBFA49">
      <w:pPr>
        <w:spacing w:line="480" w:lineRule="exact"/>
        <w:ind w:firstLine="480" w:firstLineChars="200"/>
        <w:rPr>
          <w:rFonts w:hint="eastAsia" w:ascii="宋体" w:hAnsi="宋体"/>
          <w:color w:val="000000" w:themeColor="text1"/>
          <w:sz w:val="24"/>
          <w:highlight w:val="none"/>
          <w14:textFill>
            <w14:solidFill>
              <w14:schemeClr w14:val="tx1"/>
            </w14:solidFill>
          </w14:textFill>
        </w:rPr>
      </w:pPr>
    </w:p>
    <w:p w14:paraId="6A79E9E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各供应商：</w:t>
      </w:r>
    </w:p>
    <w:p w14:paraId="0EE1FDF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欢迎贵公司参与河南省政府采购活动！</w:t>
      </w:r>
    </w:p>
    <w:p w14:paraId="6DA6EF2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政府采购合同融资是河南省财政厅支持中小微企业发展，针对参与政府采购活动的供应商融资难、融资贵问题推出的一项融资政策。贵公司若成为本次政府采购项目的中标供应商，可持政府采购合同向金融机构申请贷款，无需抵押、担保，融资机构将根据《河南省政府采购合同融资工作实施方案》（豫财购〔2017〕10号），按照双方自愿的原则提供便捷、优惠的贷款服务。</w:t>
      </w:r>
    </w:p>
    <w:p w14:paraId="590414B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贷款渠道和提供贷款的金融机构，可在河南省政府采购网“河南省政府采购合同融资平台”查询联系。</w:t>
      </w:r>
    </w:p>
    <w:p w14:paraId="353CD353">
      <w:pPr>
        <w:keepNext w:val="0"/>
        <w:keepLines w:val="0"/>
        <w:pageBreakBefore w:val="0"/>
        <w:widowControl w:val="0"/>
        <w:kinsoku/>
        <w:wordWrap/>
        <w:overflowPunct/>
        <w:topLinePunct w:val="0"/>
        <w:autoSpaceDE/>
        <w:autoSpaceDN/>
        <w:bidi w:val="0"/>
        <w:adjustRightInd/>
        <w:snapToGrid/>
        <w:spacing w:after="120" w:line="440" w:lineRule="exact"/>
        <w:ind w:firstLine="300" w:firstLineChars="100"/>
        <w:textAlignment w:val="auto"/>
        <w:rPr>
          <w:rFonts w:hint="eastAsia" w:ascii="宋体" w:hAnsi="宋体"/>
          <w:color w:val="000000" w:themeColor="text1"/>
          <w:kern w:val="0"/>
          <w:sz w:val="30"/>
          <w:szCs w:val="30"/>
          <w:highlight w:val="none"/>
          <w14:textFill>
            <w14:solidFill>
              <w14:schemeClr w14:val="tx1"/>
            </w14:solidFill>
          </w14:textFill>
        </w:rPr>
      </w:pPr>
    </w:p>
    <w:p w14:paraId="2D07FD40">
      <w:pPr>
        <w:rPr>
          <w:color w:val="000000" w:themeColor="text1"/>
          <w:highlight w:val="none"/>
          <w14:textFill>
            <w14:solidFill>
              <w14:schemeClr w14:val="tx1"/>
            </w14:solidFill>
          </w14:textFill>
        </w:rPr>
      </w:pPr>
    </w:p>
    <w:p w14:paraId="1F4D89B0">
      <w:pPr>
        <w:widowControl w:val="0"/>
        <w:ind w:firstLine="420"/>
        <w:rPr>
          <w:rFonts w:hint="eastAsia" w:ascii="宋体" w:hAnsi="宋体"/>
          <w:color w:val="000000" w:themeColor="text1"/>
          <w:sz w:val="30"/>
          <w:szCs w:val="30"/>
          <w:highlight w:val="none"/>
          <w14:textFill>
            <w14:solidFill>
              <w14:schemeClr w14:val="tx1"/>
            </w14:solidFill>
          </w14:textFill>
        </w:rPr>
      </w:pPr>
    </w:p>
    <w:p w14:paraId="1D32300A">
      <w:pPr>
        <w:spacing w:before="100" w:beforeAutospacing="1" w:after="100" w:afterAutospacing="1"/>
        <w:jc w:val="left"/>
        <w:rPr>
          <w:rFonts w:hint="eastAsia" w:ascii="宋体" w:hAnsi="宋体"/>
          <w:color w:val="000000" w:themeColor="text1"/>
          <w:kern w:val="0"/>
          <w:sz w:val="30"/>
          <w:szCs w:val="30"/>
          <w:highlight w:val="none"/>
          <w14:textFill>
            <w14:solidFill>
              <w14:schemeClr w14:val="tx1"/>
            </w14:solidFill>
          </w14:textFill>
        </w:rPr>
      </w:pPr>
    </w:p>
    <w:p w14:paraId="1C63E244">
      <w:pPr>
        <w:spacing w:before="100" w:beforeAutospacing="1" w:after="100" w:afterAutospacing="1"/>
        <w:jc w:val="left"/>
        <w:rPr>
          <w:rFonts w:hint="eastAsia" w:ascii="宋体" w:hAnsi="宋体"/>
          <w:color w:val="000000" w:themeColor="text1"/>
          <w:kern w:val="0"/>
          <w:sz w:val="30"/>
          <w:szCs w:val="30"/>
          <w:highlight w:val="none"/>
          <w14:textFill>
            <w14:solidFill>
              <w14:schemeClr w14:val="tx1"/>
            </w14:solidFill>
          </w14:textFill>
        </w:rPr>
      </w:pPr>
    </w:p>
    <w:p w14:paraId="6B88DF5C">
      <w:pPr>
        <w:spacing w:before="100" w:beforeAutospacing="1" w:after="100" w:afterAutospacing="1"/>
        <w:jc w:val="left"/>
        <w:rPr>
          <w:rFonts w:hint="eastAsia" w:ascii="宋体" w:hAnsi="宋体"/>
          <w:color w:val="000000" w:themeColor="text1"/>
          <w:kern w:val="0"/>
          <w:sz w:val="30"/>
          <w:szCs w:val="30"/>
          <w:highlight w:val="none"/>
          <w14:textFill>
            <w14:solidFill>
              <w14:schemeClr w14:val="tx1"/>
            </w14:solidFill>
          </w14:textFill>
        </w:rPr>
      </w:pPr>
    </w:p>
    <w:p w14:paraId="533020CE">
      <w:pPr>
        <w:spacing w:before="100" w:beforeAutospacing="1" w:after="100" w:afterAutospacing="1"/>
        <w:jc w:val="left"/>
        <w:rPr>
          <w:rFonts w:hint="eastAsia" w:ascii="宋体" w:hAnsi="宋体"/>
          <w:color w:val="000000" w:themeColor="text1"/>
          <w:kern w:val="0"/>
          <w:sz w:val="30"/>
          <w:szCs w:val="30"/>
          <w:highlight w:val="none"/>
          <w14:textFill>
            <w14:solidFill>
              <w14:schemeClr w14:val="tx1"/>
            </w14:solidFill>
          </w14:textFill>
        </w:rPr>
      </w:pPr>
    </w:p>
    <w:p w14:paraId="54031AAF">
      <w:pPr>
        <w:spacing w:before="100" w:beforeAutospacing="1" w:after="100" w:afterAutospacing="1"/>
        <w:jc w:val="left"/>
        <w:rPr>
          <w:rFonts w:hint="eastAsia" w:ascii="宋体" w:hAnsi="宋体"/>
          <w:color w:val="000000" w:themeColor="text1"/>
          <w:kern w:val="0"/>
          <w:sz w:val="30"/>
          <w:szCs w:val="30"/>
          <w:highlight w:val="none"/>
          <w14:textFill>
            <w14:solidFill>
              <w14:schemeClr w14:val="tx1"/>
            </w14:solidFill>
          </w14:textFill>
        </w:rPr>
      </w:pPr>
    </w:p>
    <w:p w14:paraId="31B82368">
      <w:pPr>
        <w:spacing w:before="100" w:beforeAutospacing="1" w:after="100" w:afterAutospacing="1"/>
        <w:jc w:val="left"/>
        <w:rPr>
          <w:rFonts w:hint="eastAsia" w:ascii="宋体" w:hAnsi="宋体"/>
          <w:color w:val="000000" w:themeColor="text1"/>
          <w:kern w:val="0"/>
          <w:sz w:val="30"/>
          <w:szCs w:val="30"/>
          <w:highlight w:val="none"/>
          <w14:textFill>
            <w14:solidFill>
              <w14:schemeClr w14:val="tx1"/>
            </w14:solidFill>
          </w14:textFill>
        </w:rPr>
      </w:pPr>
    </w:p>
    <w:p w14:paraId="29DB8691">
      <w:pPr>
        <w:spacing w:line="276" w:lineRule="auto"/>
        <w:jc w:val="left"/>
        <w:rPr>
          <w:rFonts w:hint="eastAsia" w:ascii="宋体" w:hAnsi="宋体"/>
          <w:color w:val="000000" w:themeColor="text1"/>
          <w:sz w:val="30"/>
          <w:szCs w:val="30"/>
          <w:highlight w:val="none"/>
          <w14:textFill>
            <w14:solidFill>
              <w14:schemeClr w14:val="tx1"/>
            </w14:solidFill>
          </w14:textFill>
        </w:rPr>
      </w:pPr>
    </w:p>
    <w:p w14:paraId="4936D73E">
      <w:pPr>
        <w:rPr>
          <w:rFonts w:hint="eastAsia"/>
          <w:b/>
          <w:bCs/>
          <w:sz w:val="28"/>
          <w:szCs w:val="24"/>
          <w:highlight w:val="none"/>
        </w:rPr>
      </w:pPr>
      <w:r>
        <w:rPr>
          <w:rFonts w:hint="eastAsia"/>
          <w:b/>
          <w:bCs/>
          <w:sz w:val="28"/>
          <w:szCs w:val="24"/>
          <w:highlight w:val="none"/>
        </w:rPr>
        <w:br w:type="page"/>
      </w:r>
    </w:p>
    <w:p w14:paraId="3C13872A">
      <w:pPr>
        <w:pStyle w:val="12"/>
        <w:jc w:val="left"/>
        <w:rPr>
          <w:rFonts w:hint="eastAsia"/>
          <w:b/>
          <w:bCs/>
          <w:sz w:val="24"/>
          <w:szCs w:val="24"/>
          <w:highlight w:val="none"/>
          <w:lang w:eastAsia="zh-CN"/>
        </w:rPr>
      </w:pPr>
      <w:r>
        <w:rPr>
          <w:rFonts w:hint="eastAsia" w:ascii="宋体" w:eastAsia="宋体" w:cs="Times New Roman"/>
          <w:b/>
          <w:bCs/>
          <w:sz w:val="24"/>
          <w:szCs w:val="24"/>
          <w:highlight w:val="none"/>
        </w:rPr>
        <w:t>附件2</w:t>
      </w:r>
      <w:r>
        <w:rPr>
          <w:rFonts w:hint="eastAsia"/>
          <w:b/>
          <w:bCs/>
          <w:sz w:val="24"/>
          <w:szCs w:val="24"/>
          <w:highlight w:val="none"/>
        </w:rPr>
        <w:t>：</w:t>
      </w:r>
    </w:p>
    <w:p w14:paraId="14656469">
      <w:pPr>
        <w:pStyle w:val="12"/>
        <w:jc w:val="center"/>
        <w:rPr>
          <w:rFonts w:hint="eastAsia"/>
          <w:b/>
          <w:bCs/>
          <w:sz w:val="28"/>
          <w:szCs w:val="24"/>
          <w:highlight w:val="none"/>
        </w:rPr>
      </w:pPr>
      <w:r>
        <w:rPr>
          <w:rFonts w:hint="eastAsia"/>
          <w:b/>
          <w:bCs/>
          <w:sz w:val="28"/>
          <w:szCs w:val="24"/>
          <w:highlight w:val="none"/>
        </w:rPr>
        <w:t>关于小、微企业及产品（如有）</w:t>
      </w:r>
    </w:p>
    <w:p w14:paraId="765980ED">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ascii="宋体" w:hAnsi="宋体" w:cs="宋体"/>
          <w:bCs/>
          <w:sz w:val="24"/>
          <w:szCs w:val="24"/>
          <w:highlight w:val="none"/>
        </w:rPr>
      </w:pPr>
      <w:r>
        <w:rPr>
          <w:rFonts w:hint="eastAsia" w:ascii="宋体" w:hAnsi="宋体" w:cs="宋体"/>
          <w:bCs/>
          <w:sz w:val="24"/>
          <w:szCs w:val="24"/>
          <w:highlight w:val="none"/>
        </w:rPr>
        <w:t>1、政府采购政策：</w:t>
      </w:r>
    </w:p>
    <w:p w14:paraId="4CBAB354">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ascii="宋体" w:hAnsi="宋体" w:cs="宋体"/>
          <w:sz w:val="24"/>
          <w:szCs w:val="24"/>
          <w:highlight w:val="none"/>
        </w:rPr>
      </w:pPr>
      <w:r>
        <w:rPr>
          <w:rFonts w:hint="eastAsia" w:ascii="宋体" w:hAnsi="宋体" w:cs="宋体"/>
          <w:sz w:val="24"/>
          <w:szCs w:val="24"/>
          <w:highlight w:val="none"/>
        </w:rPr>
        <w:t>1.1《政府采购促进中小企业发展管理办法》（财库﹝2020﹞46 号）</w:t>
      </w:r>
    </w:p>
    <w:p w14:paraId="1D6EFCE0">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ascii="宋体" w:hAnsi="宋体" w:cs="宋体"/>
          <w:sz w:val="24"/>
          <w:szCs w:val="24"/>
          <w:highlight w:val="none"/>
        </w:rPr>
      </w:pPr>
      <w:r>
        <w:rPr>
          <w:rFonts w:hint="eastAsia" w:ascii="宋体" w:hAnsi="宋体" w:cs="宋体"/>
          <w:sz w:val="24"/>
          <w:szCs w:val="24"/>
          <w:highlight w:val="none"/>
        </w:rPr>
        <w:t>1.2《工业和信息化部、国家统计局、国家发展和改革委员会、财政部关于印发中小企业划型标准规定的通知》（工信部联企业[2011]300号）</w:t>
      </w:r>
    </w:p>
    <w:p w14:paraId="47C11908">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ascii="宋体" w:hAnsi="宋体" w:cs="宋体"/>
          <w:sz w:val="24"/>
          <w:szCs w:val="24"/>
          <w:highlight w:val="none"/>
        </w:rPr>
      </w:pPr>
      <w:r>
        <w:rPr>
          <w:rFonts w:hint="eastAsia" w:ascii="宋体" w:hAnsi="宋体" w:cs="宋体"/>
          <w:bCs/>
          <w:sz w:val="24"/>
          <w:szCs w:val="24"/>
          <w:highlight w:val="none"/>
        </w:rPr>
        <w:t>2、附声明函（</w:t>
      </w:r>
      <w:r>
        <w:rPr>
          <w:rFonts w:hint="eastAsia" w:ascii="宋体" w:hAnsi="宋体" w:cs="宋体"/>
          <w:sz w:val="24"/>
          <w:szCs w:val="24"/>
          <w:highlight w:val="none"/>
        </w:rPr>
        <w:t>无声明函投标报价评审时不予价格扣除优惠</w:t>
      </w:r>
      <w:r>
        <w:rPr>
          <w:rFonts w:hint="eastAsia" w:ascii="宋体" w:hAnsi="宋体" w:cs="宋体"/>
          <w:bCs/>
          <w:sz w:val="24"/>
          <w:szCs w:val="24"/>
          <w:highlight w:val="none"/>
        </w:rPr>
        <w:t>）</w:t>
      </w:r>
    </w:p>
    <w:p w14:paraId="20B1CD21">
      <w:pPr>
        <w:pStyle w:val="13"/>
        <w:ind w:firstLine="0"/>
        <w:jc w:val="center"/>
        <w:rPr>
          <w:rFonts w:ascii="宋体" w:hAnsi="宋体"/>
          <w:sz w:val="24"/>
          <w:szCs w:val="24"/>
          <w:highlight w:val="none"/>
        </w:rPr>
      </w:pPr>
      <w:r>
        <w:rPr>
          <w:rFonts w:hint="eastAsia" w:ascii="宋体" w:hAnsi="宋体" w:cs="宋体"/>
          <w:b/>
          <w:sz w:val="24"/>
          <w:szCs w:val="24"/>
          <w:highlight w:val="none"/>
        </w:rPr>
        <w:br w:type="page"/>
      </w:r>
      <w:r>
        <w:rPr>
          <w:rFonts w:hint="eastAsia" w:ascii="宋体" w:hAnsi="Courier New"/>
          <w:b/>
          <w:bCs/>
          <w:kern w:val="0"/>
          <w:sz w:val="24"/>
          <w:szCs w:val="24"/>
          <w:highlight w:val="none"/>
        </w:rPr>
        <w:t>中小企业声明函（货物）（如有）</w:t>
      </w:r>
    </w:p>
    <w:p w14:paraId="693380C2">
      <w:pPr>
        <w:spacing w:line="600" w:lineRule="exact"/>
        <w:ind w:firstLine="480" w:firstLineChars="200"/>
        <w:rPr>
          <w:rFonts w:ascii="宋体" w:hAnsi="宋体"/>
          <w:sz w:val="24"/>
          <w:highlight w:val="none"/>
        </w:rPr>
      </w:pPr>
      <w:r>
        <w:rPr>
          <w:rFonts w:hint="eastAsia" w:ascii="宋体" w:hAnsi="宋体"/>
          <w:sz w:val="24"/>
          <w:highlight w:val="none"/>
        </w:rPr>
        <w:t>本公司（联合体）郑重声明，根据《政府采购促进中小企业发展管理办法》 （财库﹝2020﹞46 号）的规定，本公司（联合体）参加</w:t>
      </w:r>
      <w:r>
        <w:rPr>
          <w:rFonts w:hint="eastAsia" w:ascii="宋体" w:hAnsi="宋体"/>
          <w:sz w:val="24"/>
          <w:highlight w:val="none"/>
          <w:u w:val="single"/>
        </w:rPr>
        <w:t xml:space="preserve"> （单位名称） </w:t>
      </w:r>
      <w:r>
        <w:rPr>
          <w:rFonts w:hint="eastAsia" w:ascii="宋体" w:hAnsi="宋体"/>
          <w:sz w:val="24"/>
          <w:highlight w:val="none"/>
        </w:rPr>
        <w:t>的</w:t>
      </w:r>
      <w:r>
        <w:rPr>
          <w:rFonts w:hint="eastAsia" w:ascii="宋体" w:hAnsi="宋体"/>
          <w:sz w:val="24"/>
          <w:highlight w:val="none"/>
          <w:u w:val="single"/>
        </w:rPr>
        <w:t xml:space="preserve"> （项目名称） </w:t>
      </w:r>
      <w:r>
        <w:rPr>
          <w:rFonts w:hint="eastAsia" w:ascii="宋体" w:hAnsi="宋体"/>
          <w:sz w:val="24"/>
          <w:highlight w:val="none"/>
        </w:rPr>
        <w:t>采购活动，提供的货物全部由符合政策要求的中小企业制造。相关企业（含联合体中的中小企业、签订分包意向协议的中小企业）的具体情况如下：</w:t>
      </w:r>
    </w:p>
    <w:p w14:paraId="598BE4AF">
      <w:pPr>
        <w:spacing w:line="600" w:lineRule="exact"/>
        <w:ind w:firstLine="480" w:firstLineChars="200"/>
        <w:rPr>
          <w:rFonts w:ascii="宋体" w:hAnsi="宋体"/>
          <w:sz w:val="24"/>
          <w:highlight w:val="none"/>
        </w:rPr>
      </w:pPr>
      <w:r>
        <w:rPr>
          <w:rFonts w:hint="eastAsia" w:ascii="宋体" w:hAnsi="宋体"/>
          <w:sz w:val="24"/>
          <w:highlight w:val="none"/>
        </w:rPr>
        <w:t>1.</w:t>
      </w:r>
      <w:r>
        <w:rPr>
          <w:rFonts w:hint="eastAsia" w:ascii="宋体" w:hAnsi="宋体"/>
          <w:sz w:val="24"/>
          <w:highlight w:val="none"/>
          <w:u w:val="single"/>
        </w:rPr>
        <w:t xml:space="preserve"> （标的名称） </w:t>
      </w:r>
      <w:r>
        <w:rPr>
          <w:rFonts w:hint="eastAsia" w:ascii="宋体" w:hAnsi="宋体"/>
          <w:sz w:val="24"/>
          <w:highlight w:val="none"/>
        </w:rPr>
        <w:t>，属于</w:t>
      </w:r>
      <w:r>
        <w:rPr>
          <w:rFonts w:hint="eastAsia" w:ascii="宋体" w:hAnsi="宋体"/>
          <w:sz w:val="24"/>
          <w:highlight w:val="none"/>
          <w:u w:val="single"/>
        </w:rPr>
        <w:t xml:space="preserve"> （采购文件中明确的所属行业）行业</w:t>
      </w:r>
      <w:r>
        <w:rPr>
          <w:rFonts w:hint="eastAsia" w:ascii="宋体" w:hAnsi="宋体"/>
          <w:sz w:val="24"/>
          <w:highlight w:val="none"/>
        </w:rPr>
        <w:t xml:space="preserve"> ；制造商为 </w:t>
      </w:r>
      <w:r>
        <w:rPr>
          <w:rFonts w:hint="eastAsia" w:ascii="宋体" w:hAnsi="宋体"/>
          <w:sz w:val="24"/>
          <w:highlight w:val="none"/>
          <w:u w:val="single"/>
        </w:rPr>
        <w:t xml:space="preserve">（企业名称） </w:t>
      </w:r>
      <w:r>
        <w:rPr>
          <w:rFonts w:hint="eastAsia" w:ascii="宋体" w:hAnsi="宋体"/>
          <w:sz w:val="24"/>
          <w:highlight w:val="none"/>
        </w:rPr>
        <w:t>，从业人员</w:t>
      </w:r>
      <w:r>
        <w:rPr>
          <w:rFonts w:hint="eastAsia" w:ascii="宋体" w:hAnsi="宋体"/>
          <w:sz w:val="24"/>
          <w:highlight w:val="none"/>
          <w:u w:val="single"/>
        </w:rPr>
        <w:t xml:space="preserve">     </w:t>
      </w:r>
      <w:r>
        <w:rPr>
          <w:rFonts w:hint="eastAsia" w:ascii="宋体" w:hAnsi="宋体"/>
          <w:sz w:val="24"/>
          <w:highlight w:val="none"/>
        </w:rPr>
        <w:t>人，营业收入为</w:t>
      </w:r>
      <w:r>
        <w:rPr>
          <w:rFonts w:hint="eastAsia" w:ascii="宋体" w:hAnsi="宋体"/>
          <w:sz w:val="24"/>
          <w:highlight w:val="none"/>
          <w:u w:val="single"/>
        </w:rPr>
        <w:t xml:space="preserve">     </w:t>
      </w:r>
      <w:r>
        <w:rPr>
          <w:rFonts w:hint="eastAsia" w:ascii="宋体" w:hAnsi="宋体"/>
          <w:sz w:val="24"/>
          <w:highlight w:val="none"/>
        </w:rPr>
        <w:t>万元，资产总额为</w:t>
      </w:r>
      <w:r>
        <w:rPr>
          <w:rFonts w:hint="eastAsia" w:ascii="宋体" w:hAnsi="宋体"/>
          <w:sz w:val="24"/>
          <w:highlight w:val="none"/>
          <w:u w:val="single"/>
        </w:rPr>
        <w:t xml:space="preserve">     </w:t>
      </w:r>
      <w:r>
        <w:rPr>
          <w:rFonts w:hint="eastAsia" w:ascii="宋体" w:hAnsi="宋体"/>
          <w:sz w:val="24"/>
          <w:highlight w:val="none"/>
        </w:rPr>
        <w:t>万元，属于</w:t>
      </w:r>
      <w:r>
        <w:rPr>
          <w:rFonts w:hint="eastAsia" w:ascii="宋体" w:hAnsi="宋体"/>
          <w:sz w:val="24"/>
          <w:highlight w:val="none"/>
          <w:u w:val="single"/>
        </w:rPr>
        <w:t xml:space="preserve"> （中型企业、小型企业、微型企业） </w:t>
      </w:r>
      <w:r>
        <w:rPr>
          <w:rFonts w:hint="eastAsia" w:ascii="宋体" w:hAnsi="宋体"/>
          <w:sz w:val="24"/>
          <w:highlight w:val="none"/>
        </w:rPr>
        <w:t>；</w:t>
      </w:r>
    </w:p>
    <w:p w14:paraId="5BFF2A24">
      <w:pPr>
        <w:spacing w:line="600" w:lineRule="exact"/>
        <w:ind w:firstLine="480" w:firstLineChars="200"/>
        <w:rPr>
          <w:rFonts w:ascii="宋体" w:hAnsi="宋体"/>
          <w:sz w:val="24"/>
          <w:highlight w:val="none"/>
        </w:rPr>
      </w:pPr>
      <w:r>
        <w:rPr>
          <w:rFonts w:hint="eastAsia" w:ascii="宋体" w:hAnsi="宋体"/>
          <w:sz w:val="24"/>
          <w:highlight w:val="none"/>
        </w:rPr>
        <w:t>2.</w:t>
      </w:r>
      <w:r>
        <w:rPr>
          <w:rFonts w:hint="eastAsia" w:ascii="宋体" w:hAnsi="宋体"/>
          <w:sz w:val="24"/>
          <w:highlight w:val="none"/>
          <w:u w:val="single"/>
        </w:rPr>
        <w:t xml:space="preserve"> （标的名称） </w:t>
      </w:r>
      <w:r>
        <w:rPr>
          <w:rFonts w:hint="eastAsia" w:ascii="宋体" w:hAnsi="宋体"/>
          <w:sz w:val="24"/>
          <w:highlight w:val="none"/>
        </w:rPr>
        <w:t>，属于</w:t>
      </w:r>
      <w:r>
        <w:rPr>
          <w:rFonts w:hint="eastAsia" w:ascii="宋体" w:hAnsi="宋体"/>
          <w:sz w:val="24"/>
          <w:highlight w:val="none"/>
          <w:u w:val="single"/>
        </w:rPr>
        <w:t xml:space="preserve"> （采购文件中明确的所属行业）行业</w:t>
      </w:r>
      <w:r>
        <w:rPr>
          <w:rFonts w:hint="eastAsia" w:ascii="宋体" w:hAnsi="宋体"/>
          <w:sz w:val="24"/>
          <w:highlight w:val="none"/>
        </w:rPr>
        <w:t xml:space="preserve"> ；制造商为 </w:t>
      </w:r>
      <w:r>
        <w:rPr>
          <w:rFonts w:hint="eastAsia" w:ascii="宋体" w:hAnsi="宋体"/>
          <w:sz w:val="24"/>
          <w:highlight w:val="none"/>
          <w:u w:val="single"/>
        </w:rPr>
        <w:t xml:space="preserve">（企业名称） </w:t>
      </w:r>
      <w:r>
        <w:rPr>
          <w:rFonts w:hint="eastAsia" w:ascii="宋体" w:hAnsi="宋体"/>
          <w:sz w:val="24"/>
          <w:highlight w:val="none"/>
        </w:rPr>
        <w:t>，从业人员</w:t>
      </w:r>
      <w:r>
        <w:rPr>
          <w:rFonts w:hint="eastAsia" w:ascii="宋体" w:hAnsi="宋体"/>
          <w:sz w:val="24"/>
          <w:highlight w:val="none"/>
          <w:u w:val="single"/>
        </w:rPr>
        <w:t xml:space="preserve">     </w:t>
      </w:r>
      <w:r>
        <w:rPr>
          <w:rFonts w:hint="eastAsia" w:ascii="宋体" w:hAnsi="宋体"/>
          <w:sz w:val="24"/>
          <w:highlight w:val="none"/>
        </w:rPr>
        <w:t>人，营业收入为</w:t>
      </w:r>
      <w:r>
        <w:rPr>
          <w:rFonts w:hint="eastAsia" w:ascii="宋体" w:hAnsi="宋体"/>
          <w:sz w:val="24"/>
          <w:highlight w:val="none"/>
          <w:u w:val="single"/>
        </w:rPr>
        <w:t xml:space="preserve">     </w:t>
      </w:r>
      <w:r>
        <w:rPr>
          <w:rFonts w:hint="eastAsia" w:ascii="宋体" w:hAnsi="宋体"/>
          <w:sz w:val="24"/>
          <w:highlight w:val="none"/>
        </w:rPr>
        <w:t>万元，资产总额为</w:t>
      </w:r>
      <w:r>
        <w:rPr>
          <w:rFonts w:hint="eastAsia" w:ascii="宋体" w:hAnsi="宋体"/>
          <w:sz w:val="24"/>
          <w:highlight w:val="none"/>
          <w:u w:val="single"/>
        </w:rPr>
        <w:t xml:space="preserve">     </w:t>
      </w:r>
      <w:r>
        <w:rPr>
          <w:rFonts w:hint="eastAsia" w:ascii="宋体" w:hAnsi="宋体"/>
          <w:sz w:val="24"/>
          <w:highlight w:val="none"/>
        </w:rPr>
        <w:t>万元，属于</w:t>
      </w:r>
      <w:r>
        <w:rPr>
          <w:rFonts w:hint="eastAsia" w:ascii="宋体" w:hAnsi="宋体"/>
          <w:sz w:val="24"/>
          <w:highlight w:val="none"/>
          <w:u w:val="single"/>
        </w:rPr>
        <w:t xml:space="preserve"> （中型企业、小型企业、微型企业） </w:t>
      </w:r>
      <w:r>
        <w:rPr>
          <w:rFonts w:hint="eastAsia" w:ascii="宋体" w:hAnsi="宋体"/>
          <w:sz w:val="24"/>
          <w:highlight w:val="none"/>
        </w:rPr>
        <w:t>；</w:t>
      </w:r>
    </w:p>
    <w:p w14:paraId="2FABAF77">
      <w:pPr>
        <w:spacing w:line="600" w:lineRule="exact"/>
        <w:ind w:firstLine="480" w:firstLineChars="200"/>
        <w:rPr>
          <w:rFonts w:ascii="宋体" w:hAnsi="宋体"/>
          <w:sz w:val="24"/>
          <w:highlight w:val="none"/>
        </w:rPr>
      </w:pPr>
      <w:r>
        <w:rPr>
          <w:rFonts w:hint="eastAsia" w:ascii="宋体" w:hAnsi="宋体"/>
          <w:sz w:val="24"/>
          <w:highlight w:val="none"/>
        </w:rPr>
        <w:t>……</w:t>
      </w:r>
    </w:p>
    <w:p w14:paraId="45219502">
      <w:pPr>
        <w:spacing w:line="600" w:lineRule="exact"/>
        <w:ind w:firstLine="480" w:firstLineChars="200"/>
        <w:rPr>
          <w:rFonts w:ascii="宋体" w:hAnsi="宋体"/>
          <w:sz w:val="24"/>
          <w:highlight w:val="none"/>
        </w:rPr>
      </w:pPr>
      <w:r>
        <w:rPr>
          <w:rFonts w:hint="eastAsia" w:ascii="宋体" w:hAnsi="宋体"/>
          <w:sz w:val="24"/>
          <w:highlight w:val="none"/>
        </w:rPr>
        <w:t>以上企业，不属于大企业的分支机构，不存在控股股东为大企业的情形，也不存在与大企业的负责人为同一人的情形。</w:t>
      </w:r>
    </w:p>
    <w:p w14:paraId="6A5E9859">
      <w:pPr>
        <w:jc w:val="left"/>
        <w:rPr>
          <w:rFonts w:ascii="宋体" w:hAnsi="宋体" w:cs="宋体"/>
          <w:b/>
          <w:bCs/>
          <w:sz w:val="24"/>
          <w:szCs w:val="24"/>
          <w:highlight w:val="none"/>
        </w:rPr>
      </w:pPr>
      <w:r>
        <w:rPr>
          <w:rFonts w:hint="eastAsia" w:ascii="宋体" w:hAnsi="宋体"/>
          <w:sz w:val="24"/>
          <w:highlight w:val="none"/>
        </w:rPr>
        <w:t>本企业对上述声明内容的真实性负责。如有虚假，将依法承担相应责任。</w:t>
      </w:r>
    </w:p>
    <w:p w14:paraId="3A43A9D2">
      <w:pPr>
        <w:pStyle w:val="117"/>
        <w:widowControl/>
        <w:spacing w:line="360" w:lineRule="auto"/>
        <w:jc w:val="center"/>
        <w:rPr>
          <w:rFonts w:hAnsi="宋体" w:cs="宋体"/>
          <w:b/>
          <w:bCs/>
          <w:sz w:val="24"/>
          <w:szCs w:val="24"/>
          <w:highlight w:val="none"/>
        </w:rPr>
      </w:pPr>
    </w:p>
    <w:p w14:paraId="0B7A2E6D">
      <w:pPr>
        <w:pStyle w:val="117"/>
        <w:widowControl/>
        <w:spacing w:line="360" w:lineRule="auto"/>
        <w:jc w:val="center"/>
        <w:rPr>
          <w:rFonts w:hAnsi="宋体" w:cs="宋体"/>
          <w:b/>
          <w:bCs/>
          <w:sz w:val="24"/>
          <w:szCs w:val="24"/>
          <w:highlight w:val="none"/>
        </w:rPr>
      </w:pPr>
    </w:p>
    <w:p w14:paraId="09EEFA23">
      <w:pPr>
        <w:spacing w:line="360" w:lineRule="auto"/>
        <w:ind w:right="480" w:firstLine="4680" w:firstLineChars="1950"/>
        <w:rPr>
          <w:rFonts w:hint="eastAsia" w:ascii="宋体" w:hAnsi="宋体"/>
          <w:sz w:val="24"/>
          <w:szCs w:val="24"/>
          <w:highlight w:val="none"/>
        </w:rPr>
      </w:pPr>
      <w:bookmarkStart w:id="158" w:name="_Toc19557"/>
      <w:bookmarkEnd w:id="158"/>
      <w:bookmarkStart w:id="159" w:name="_Toc22147"/>
      <w:bookmarkEnd w:id="159"/>
      <w:bookmarkStart w:id="160" w:name="_Toc13878"/>
      <w:bookmarkEnd w:id="160"/>
      <w:bookmarkStart w:id="161" w:name="_Toc23075"/>
      <w:bookmarkEnd w:id="161"/>
      <w:bookmarkStart w:id="162" w:name="_Toc15943"/>
      <w:bookmarkEnd w:id="162"/>
      <w:bookmarkStart w:id="163" w:name="_Toc11149"/>
      <w:bookmarkEnd w:id="163"/>
      <w:bookmarkStart w:id="164" w:name="_Toc10964"/>
      <w:bookmarkEnd w:id="164"/>
      <w:bookmarkStart w:id="165" w:name="_Toc12805"/>
      <w:bookmarkEnd w:id="165"/>
      <w:bookmarkStart w:id="166" w:name="_Toc22668"/>
      <w:bookmarkEnd w:id="166"/>
      <w:bookmarkStart w:id="167" w:name="_Toc32767"/>
      <w:bookmarkEnd w:id="167"/>
      <w:bookmarkStart w:id="168" w:name="_Toc26376"/>
      <w:bookmarkEnd w:id="168"/>
      <w:bookmarkStart w:id="169" w:name="_Toc9456"/>
      <w:bookmarkEnd w:id="169"/>
      <w:bookmarkStart w:id="170" w:name="_Toc11777"/>
      <w:bookmarkEnd w:id="170"/>
      <w:bookmarkStart w:id="171" w:name="_Toc27008"/>
      <w:bookmarkEnd w:id="171"/>
      <w:bookmarkStart w:id="172" w:name="_Toc12001"/>
      <w:bookmarkEnd w:id="172"/>
      <w:bookmarkStart w:id="173" w:name="_Toc1211"/>
      <w:bookmarkEnd w:id="173"/>
      <w:bookmarkStart w:id="174" w:name="_Toc25658"/>
      <w:bookmarkEnd w:id="174"/>
      <w:bookmarkStart w:id="175" w:name="_Toc14428"/>
      <w:bookmarkEnd w:id="175"/>
      <w:bookmarkStart w:id="176" w:name="_Toc28742"/>
      <w:bookmarkEnd w:id="176"/>
      <w:bookmarkStart w:id="177" w:name="_Toc21667"/>
      <w:bookmarkEnd w:id="177"/>
      <w:bookmarkStart w:id="178" w:name="_Toc28094"/>
      <w:r>
        <w:rPr>
          <w:rFonts w:hint="eastAsia" w:ascii="宋体" w:hAnsi="宋体"/>
          <w:sz w:val="24"/>
          <w:szCs w:val="24"/>
          <w:highlight w:val="none"/>
        </w:rPr>
        <w:t>企业名称（盖章）：</w:t>
      </w:r>
      <w:r>
        <w:rPr>
          <w:rFonts w:hint="eastAsia" w:ascii="宋体" w:hAnsi="宋体"/>
          <w:sz w:val="24"/>
          <w:szCs w:val="24"/>
          <w:highlight w:val="none"/>
          <w:u w:val="single"/>
        </w:rPr>
        <w:t xml:space="preserve">               </w:t>
      </w:r>
      <w:r>
        <w:rPr>
          <w:rFonts w:hint="eastAsia" w:ascii="宋体" w:hAnsi="宋体"/>
          <w:sz w:val="24"/>
          <w:szCs w:val="24"/>
          <w:highlight w:val="none"/>
        </w:rPr>
        <w:t xml:space="preserve">           </w:t>
      </w:r>
    </w:p>
    <w:p w14:paraId="57903519">
      <w:pPr>
        <w:spacing w:line="360" w:lineRule="auto"/>
        <w:ind w:firstLine="2880" w:firstLineChars="1200"/>
        <w:jc w:val="right"/>
        <w:rPr>
          <w:rFonts w:hint="eastAsia" w:ascii="宋体" w:hAnsi="宋体"/>
          <w:sz w:val="24"/>
          <w:szCs w:val="24"/>
          <w:highlight w:val="none"/>
        </w:rPr>
      </w:pPr>
      <w:r>
        <w:rPr>
          <w:rFonts w:hint="eastAsia" w:ascii="宋体" w:hAnsi="宋体"/>
          <w:sz w:val="24"/>
          <w:szCs w:val="24"/>
          <w:highlight w:val="none"/>
        </w:rPr>
        <w:t xml:space="preserve">   日期：</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月</w:t>
      </w:r>
      <w:r>
        <w:rPr>
          <w:rFonts w:hint="eastAsia" w:ascii="宋体" w:hAnsi="宋体"/>
          <w:sz w:val="24"/>
          <w:szCs w:val="24"/>
          <w:highlight w:val="none"/>
          <w:u w:val="single"/>
        </w:rPr>
        <w:t xml:space="preserve">       </w:t>
      </w:r>
      <w:r>
        <w:rPr>
          <w:rFonts w:hint="eastAsia" w:ascii="宋体" w:hAnsi="宋体"/>
          <w:sz w:val="24"/>
          <w:szCs w:val="24"/>
          <w:highlight w:val="none"/>
        </w:rPr>
        <w:t>日</w:t>
      </w:r>
    </w:p>
    <w:p w14:paraId="0A38E710">
      <w:pPr>
        <w:jc w:val="left"/>
        <w:rPr>
          <w:rFonts w:ascii="宋体" w:hAnsi="宋体" w:cs="宋体"/>
          <w:b/>
          <w:bCs/>
          <w:sz w:val="24"/>
          <w:szCs w:val="24"/>
          <w:highlight w:val="none"/>
        </w:rPr>
      </w:pPr>
      <w:r>
        <w:rPr>
          <w:rFonts w:hint="eastAsia" w:ascii="宋体" w:hAnsi="宋体" w:cs="宋体"/>
          <w:kern w:val="0"/>
          <w:sz w:val="24"/>
          <w:szCs w:val="24"/>
          <w:highlight w:val="none"/>
        </w:rPr>
        <w:t>注：</w:t>
      </w:r>
      <w:r>
        <w:rPr>
          <w:rFonts w:hint="eastAsia" w:ascii="宋体" w:hAnsi="宋体" w:cs="宋体"/>
          <w:kern w:val="0"/>
          <w:sz w:val="24"/>
          <w:szCs w:val="24"/>
          <w:highlight w:val="none"/>
          <w:vertAlign w:val="superscript"/>
        </w:rPr>
        <w:t xml:space="preserve"> </w:t>
      </w:r>
      <w:r>
        <w:rPr>
          <w:rFonts w:hint="eastAsia" w:ascii="宋体" w:hAnsi="宋体" w:cs="宋体"/>
          <w:kern w:val="0"/>
          <w:sz w:val="24"/>
          <w:szCs w:val="24"/>
          <w:highlight w:val="none"/>
        </w:rPr>
        <w:t>从业人员、营业收入、资产总额填报上一年度数据，无上一年度数据的新成立企业可不填报。</w:t>
      </w:r>
    </w:p>
    <w:p w14:paraId="60279862">
      <w:pPr>
        <w:pStyle w:val="3"/>
        <w:keepLines w:val="0"/>
        <w:widowControl/>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br w:type="page"/>
      </w:r>
      <w:r>
        <w:rPr>
          <w:rFonts w:hint="eastAsia" w:ascii="宋体" w:hAnsi="Courier New" w:eastAsia="宋体" w:cs="Times New Roman"/>
          <w:b/>
          <w:bCs/>
          <w:kern w:val="0"/>
          <w:sz w:val="24"/>
          <w:szCs w:val="24"/>
          <w:highlight w:val="none"/>
          <w:lang w:val="en-US" w:eastAsia="zh-CN" w:bidi="ar-SA"/>
        </w:rPr>
        <w:t>关于监狱企业</w:t>
      </w:r>
      <w:r>
        <w:rPr>
          <w:rFonts w:hint="eastAsia" w:ascii="宋体" w:hAnsi="Courier New" w:eastAsia="宋体"/>
          <w:kern w:val="0"/>
          <w:sz w:val="24"/>
          <w:szCs w:val="24"/>
          <w:highlight w:val="none"/>
        </w:rPr>
        <w:t>（如有）</w:t>
      </w:r>
      <w:bookmarkEnd w:id="178"/>
    </w:p>
    <w:p w14:paraId="15577A72">
      <w:pPr>
        <w:widowControl/>
        <w:spacing w:line="360" w:lineRule="auto"/>
        <w:jc w:val="left"/>
        <w:rPr>
          <w:rFonts w:ascii="宋体" w:hAnsi="宋体" w:cs="宋体"/>
          <w:b/>
          <w:bCs/>
          <w:sz w:val="24"/>
          <w:szCs w:val="24"/>
          <w:highlight w:val="none"/>
        </w:rPr>
      </w:pPr>
      <w:r>
        <w:rPr>
          <w:rFonts w:hint="eastAsia" w:ascii="宋体" w:hAnsi="宋体" w:cs="宋体"/>
          <w:b/>
          <w:bCs/>
          <w:sz w:val="24"/>
          <w:szCs w:val="24"/>
          <w:highlight w:val="none"/>
        </w:rPr>
        <w:t>1、政府采购政策</w:t>
      </w:r>
    </w:p>
    <w:p w14:paraId="789B1CFF">
      <w:pPr>
        <w:widowControl/>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财政部、司法部关于政府采购支持监狱企业发展有关问题的通知（财库【2014】68号）</w:t>
      </w:r>
    </w:p>
    <w:p w14:paraId="6621F6A9">
      <w:pPr>
        <w:widowControl/>
        <w:spacing w:line="360" w:lineRule="auto"/>
        <w:jc w:val="left"/>
        <w:rPr>
          <w:rFonts w:ascii="宋体" w:hAnsi="宋体" w:cs="宋体"/>
          <w:b/>
          <w:bCs/>
          <w:sz w:val="24"/>
          <w:szCs w:val="24"/>
          <w:highlight w:val="none"/>
        </w:rPr>
      </w:pPr>
      <w:r>
        <w:rPr>
          <w:rFonts w:hint="eastAsia" w:ascii="宋体" w:hAnsi="宋体" w:cs="宋体"/>
          <w:b/>
          <w:bCs/>
          <w:sz w:val="24"/>
          <w:szCs w:val="24"/>
          <w:highlight w:val="none"/>
        </w:rPr>
        <w:t>2、附证明材料</w:t>
      </w:r>
    </w:p>
    <w:p w14:paraId="16C0C9F8">
      <w:pPr>
        <w:widowControl/>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提供由省级以上监狱管理局、戒毒管理局（含新疆生产建设兵团）出具的属于监狱企业的证明文件，否则投标报价评审时不予价格扣除优惠。</w:t>
      </w:r>
    </w:p>
    <w:p w14:paraId="7CB87C0B">
      <w:pPr>
        <w:pStyle w:val="3"/>
        <w:keepLines w:val="0"/>
        <w:widowControl/>
        <w:spacing w:line="360" w:lineRule="auto"/>
        <w:jc w:val="center"/>
        <w:rPr>
          <w:rFonts w:ascii="宋体" w:hAnsi="宋体" w:eastAsia="宋体" w:cs="宋体"/>
          <w:sz w:val="24"/>
          <w:szCs w:val="24"/>
          <w:highlight w:val="none"/>
        </w:rPr>
      </w:pPr>
      <w:bookmarkStart w:id="179" w:name="_Toc6120"/>
      <w:bookmarkEnd w:id="179"/>
      <w:bookmarkStart w:id="180" w:name="_Toc23431"/>
      <w:bookmarkEnd w:id="180"/>
      <w:bookmarkStart w:id="181" w:name="_Toc8829"/>
      <w:bookmarkEnd w:id="181"/>
      <w:bookmarkStart w:id="182" w:name="_Toc25936"/>
      <w:bookmarkEnd w:id="182"/>
      <w:bookmarkStart w:id="183" w:name="_Toc18268"/>
      <w:bookmarkEnd w:id="183"/>
      <w:bookmarkStart w:id="184" w:name="_Toc18807"/>
      <w:bookmarkEnd w:id="184"/>
      <w:bookmarkStart w:id="185" w:name="_Toc23541"/>
      <w:bookmarkEnd w:id="185"/>
      <w:bookmarkStart w:id="186" w:name="_Toc16430"/>
      <w:bookmarkEnd w:id="186"/>
      <w:bookmarkStart w:id="187" w:name="_Toc17427"/>
      <w:bookmarkEnd w:id="187"/>
      <w:bookmarkStart w:id="188" w:name="_Toc4163"/>
      <w:bookmarkEnd w:id="188"/>
      <w:bookmarkStart w:id="189" w:name="_Toc27643"/>
      <w:bookmarkEnd w:id="189"/>
      <w:bookmarkStart w:id="190" w:name="_Toc16088"/>
      <w:bookmarkEnd w:id="190"/>
      <w:bookmarkStart w:id="191" w:name="_Toc22643"/>
      <w:bookmarkEnd w:id="191"/>
      <w:bookmarkStart w:id="192" w:name="_Toc27314"/>
      <w:bookmarkEnd w:id="192"/>
      <w:bookmarkStart w:id="193" w:name="_Toc23611"/>
      <w:bookmarkEnd w:id="193"/>
      <w:bookmarkStart w:id="194" w:name="_Toc11061"/>
      <w:bookmarkEnd w:id="194"/>
      <w:bookmarkStart w:id="195" w:name="_Toc29136"/>
      <w:bookmarkEnd w:id="195"/>
      <w:bookmarkStart w:id="196" w:name="_Toc4710"/>
      <w:bookmarkEnd w:id="196"/>
      <w:bookmarkStart w:id="197" w:name="_Toc31222"/>
      <w:bookmarkEnd w:id="197"/>
      <w:bookmarkStart w:id="198" w:name="_Toc797"/>
      <w:bookmarkEnd w:id="198"/>
      <w:bookmarkStart w:id="199" w:name="_Toc16786"/>
      <w:r>
        <w:rPr>
          <w:rFonts w:hint="eastAsia" w:ascii="宋体" w:hAnsi="宋体" w:eastAsia="宋体" w:cs="宋体"/>
          <w:sz w:val="24"/>
          <w:szCs w:val="24"/>
          <w:highlight w:val="none"/>
        </w:rPr>
        <w:br w:type="page"/>
      </w:r>
      <w:r>
        <w:rPr>
          <w:rFonts w:hint="eastAsia" w:ascii="宋体" w:hAnsi="Courier New" w:eastAsia="宋体" w:cs="Times New Roman"/>
          <w:b/>
          <w:bCs/>
          <w:kern w:val="0"/>
          <w:sz w:val="24"/>
          <w:szCs w:val="24"/>
          <w:highlight w:val="none"/>
        </w:rPr>
        <w:t>关于</w:t>
      </w:r>
      <w:r>
        <w:rPr>
          <w:rFonts w:hint="eastAsia" w:ascii="宋体" w:hAnsi="Courier New" w:eastAsia="宋体"/>
          <w:kern w:val="0"/>
          <w:sz w:val="24"/>
          <w:szCs w:val="24"/>
          <w:highlight w:val="none"/>
        </w:rPr>
        <w:t>促进残疾人就业的政府采购政策（如有）</w:t>
      </w:r>
      <w:bookmarkEnd w:id="199"/>
    </w:p>
    <w:p w14:paraId="54F345A5">
      <w:pPr>
        <w:widowControl/>
        <w:spacing w:line="360" w:lineRule="auto"/>
        <w:jc w:val="center"/>
        <w:rPr>
          <w:rFonts w:ascii="宋体" w:hAnsi="宋体" w:cs="宋体"/>
          <w:sz w:val="24"/>
          <w:szCs w:val="24"/>
          <w:highlight w:val="none"/>
        </w:rPr>
      </w:pPr>
      <w:bookmarkStart w:id="200" w:name="sendNo"/>
      <w:bookmarkEnd w:id="200"/>
      <w:r>
        <w:rPr>
          <w:rFonts w:hint="eastAsia" w:ascii="宋体" w:hAnsi="宋体" w:cs="宋体"/>
          <w:sz w:val="24"/>
          <w:szCs w:val="24"/>
          <w:highlight w:val="none"/>
        </w:rPr>
        <w:t xml:space="preserve"> </w:t>
      </w:r>
    </w:p>
    <w:p w14:paraId="2C8986F2">
      <w:pPr>
        <w:widowControl/>
        <w:spacing w:line="360" w:lineRule="auto"/>
        <w:jc w:val="left"/>
        <w:rPr>
          <w:rFonts w:ascii="宋体" w:hAnsi="宋体" w:cs="宋体"/>
          <w:b/>
          <w:bCs/>
          <w:sz w:val="24"/>
          <w:szCs w:val="24"/>
          <w:highlight w:val="none"/>
        </w:rPr>
      </w:pPr>
      <w:r>
        <w:rPr>
          <w:rFonts w:hint="eastAsia" w:ascii="宋体" w:hAnsi="宋体" w:cs="宋体"/>
          <w:b/>
          <w:bCs/>
          <w:sz w:val="24"/>
          <w:szCs w:val="24"/>
          <w:highlight w:val="none"/>
        </w:rPr>
        <w:t>政府采购政策</w:t>
      </w:r>
    </w:p>
    <w:p w14:paraId="63C84F07">
      <w:pPr>
        <w:widowControl/>
        <w:spacing w:line="360" w:lineRule="auto"/>
        <w:ind w:left="360"/>
        <w:jc w:val="left"/>
        <w:rPr>
          <w:rFonts w:ascii="宋体" w:hAnsi="宋体" w:cs="宋体"/>
          <w:b/>
          <w:bCs/>
          <w:kern w:val="0"/>
          <w:sz w:val="24"/>
          <w:szCs w:val="24"/>
          <w:highlight w:val="none"/>
        </w:rPr>
      </w:pPr>
      <w:r>
        <w:rPr>
          <w:rFonts w:hint="eastAsia" w:ascii="宋体" w:hAnsi="宋体" w:cs="宋体"/>
          <w:spacing w:val="6"/>
          <w:sz w:val="24"/>
          <w:szCs w:val="24"/>
          <w:highlight w:val="none"/>
        </w:rPr>
        <w:t>关于促进残疾人就业政府采购政策的通知（财库〔2017〕141号）</w:t>
      </w:r>
      <w:r>
        <w:rPr>
          <w:rFonts w:hint="eastAsia" w:ascii="宋体" w:hAnsi="宋体" w:cs="宋体"/>
          <w:b/>
          <w:bCs/>
          <w:kern w:val="0"/>
          <w:sz w:val="24"/>
          <w:szCs w:val="24"/>
          <w:highlight w:val="none"/>
        </w:rPr>
        <w:t xml:space="preserve"> </w:t>
      </w:r>
    </w:p>
    <w:p w14:paraId="2FB4B34E">
      <w:pPr>
        <w:widowControl/>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 xml:space="preserve"> </w:t>
      </w:r>
    </w:p>
    <w:p w14:paraId="296299E0">
      <w:pPr>
        <w:widowControl/>
        <w:spacing w:line="360" w:lineRule="auto"/>
        <w:jc w:val="left"/>
        <w:rPr>
          <w:rFonts w:ascii="宋体" w:hAnsi="宋体" w:cs="宋体"/>
          <w:b/>
          <w:bCs/>
          <w:kern w:val="0"/>
          <w:sz w:val="24"/>
          <w:szCs w:val="24"/>
          <w:highlight w:val="none"/>
        </w:rPr>
      </w:pPr>
      <w:bookmarkStart w:id="201" w:name="toDeptId"/>
      <w:bookmarkEnd w:id="201"/>
      <w:r>
        <w:rPr>
          <w:rFonts w:hint="eastAsia" w:ascii="宋体" w:hAnsi="宋体" w:cs="宋体"/>
          <w:b/>
          <w:bCs/>
          <w:kern w:val="0"/>
          <w:sz w:val="24"/>
          <w:szCs w:val="24"/>
          <w:highlight w:val="none"/>
        </w:rPr>
        <w:t>2、附声明函（</w:t>
      </w:r>
      <w:r>
        <w:rPr>
          <w:rFonts w:hint="eastAsia" w:ascii="宋体" w:hAnsi="宋体" w:cs="宋体"/>
          <w:sz w:val="24"/>
          <w:szCs w:val="24"/>
          <w:highlight w:val="none"/>
        </w:rPr>
        <w:t>无声明函投标报价评审时不予价格扣除优惠</w:t>
      </w:r>
      <w:r>
        <w:rPr>
          <w:rFonts w:hint="eastAsia" w:ascii="宋体" w:hAnsi="宋体" w:cs="宋体"/>
          <w:b/>
          <w:bCs/>
          <w:kern w:val="0"/>
          <w:sz w:val="24"/>
          <w:szCs w:val="24"/>
          <w:highlight w:val="none"/>
        </w:rPr>
        <w:t>）</w:t>
      </w:r>
    </w:p>
    <w:p w14:paraId="08BB466B">
      <w:pPr>
        <w:widowControl/>
        <w:spacing w:line="360" w:lineRule="auto"/>
        <w:jc w:val="left"/>
        <w:rPr>
          <w:rFonts w:ascii="宋体" w:hAnsi="宋体" w:cs="宋体"/>
          <w:kern w:val="0"/>
          <w:sz w:val="24"/>
          <w:szCs w:val="24"/>
          <w:highlight w:val="none"/>
        </w:rPr>
      </w:pPr>
      <w:r>
        <w:rPr>
          <w:rFonts w:hint="eastAsia" w:ascii="宋体" w:hAnsi="宋体" w:cs="宋体"/>
          <w:kern w:val="0"/>
          <w:sz w:val="24"/>
          <w:szCs w:val="24"/>
          <w:highlight w:val="none"/>
        </w:rPr>
        <w:t xml:space="preserve"> </w:t>
      </w:r>
    </w:p>
    <w:p w14:paraId="49BED3D9">
      <w:pPr>
        <w:widowControl/>
        <w:spacing w:line="360" w:lineRule="auto"/>
        <w:jc w:val="left"/>
        <w:rPr>
          <w:rFonts w:ascii="宋体" w:hAnsi="宋体" w:cs="宋体"/>
          <w:kern w:val="0"/>
          <w:sz w:val="24"/>
          <w:szCs w:val="24"/>
          <w:highlight w:val="none"/>
        </w:rPr>
      </w:pPr>
      <w:r>
        <w:rPr>
          <w:rFonts w:hint="eastAsia" w:ascii="宋体" w:hAnsi="宋体" w:cs="宋体"/>
          <w:kern w:val="0"/>
          <w:sz w:val="24"/>
          <w:szCs w:val="24"/>
          <w:highlight w:val="none"/>
        </w:rPr>
        <w:t xml:space="preserve"> </w:t>
      </w:r>
    </w:p>
    <w:p w14:paraId="74B4A3AB">
      <w:pPr>
        <w:pStyle w:val="13"/>
        <w:rPr>
          <w:rFonts w:ascii="宋体" w:hAnsi="宋体" w:cs="宋体"/>
          <w:kern w:val="0"/>
          <w:sz w:val="24"/>
          <w:szCs w:val="24"/>
          <w:highlight w:val="none"/>
        </w:rPr>
      </w:pPr>
    </w:p>
    <w:p w14:paraId="7C3AE47D">
      <w:pPr>
        <w:pStyle w:val="13"/>
        <w:rPr>
          <w:rFonts w:ascii="宋体" w:hAnsi="宋体" w:cs="宋体"/>
          <w:kern w:val="0"/>
          <w:sz w:val="24"/>
          <w:szCs w:val="24"/>
          <w:highlight w:val="none"/>
        </w:rPr>
      </w:pPr>
    </w:p>
    <w:p w14:paraId="1D53432E">
      <w:pPr>
        <w:pStyle w:val="13"/>
        <w:rPr>
          <w:rFonts w:ascii="宋体" w:hAnsi="宋体" w:cs="宋体"/>
          <w:kern w:val="0"/>
          <w:sz w:val="24"/>
          <w:szCs w:val="24"/>
          <w:highlight w:val="none"/>
        </w:rPr>
      </w:pPr>
    </w:p>
    <w:p w14:paraId="2712292E">
      <w:pPr>
        <w:pStyle w:val="13"/>
        <w:rPr>
          <w:rFonts w:ascii="宋体" w:hAnsi="宋体" w:cs="宋体"/>
          <w:kern w:val="0"/>
          <w:sz w:val="24"/>
          <w:szCs w:val="24"/>
          <w:highlight w:val="none"/>
        </w:rPr>
      </w:pPr>
    </w:p>
    <w:p w14:paraId="00D634FE">
      <w:pPr>
        <w:widowControl/>
        <w:spacing w:line="360" w:lineRule="auto"/>
        <w:jc w:val="left"/>
        <w:rPr>
          <w:rFonts w:ascii="宋体" w:hAnsi="宋体" w:cs="宋体"/>
          <w:kern w:val="0"/>
          <w:sz w:val="24"/>
          <w:szCs w:val="24"/>
          <w:highlight w:val="none"/>
        </w:rPr>
      </w:pPr>
      <w:r>
        <w:rPr>
          <w:rFonts w:hint="eastAsia" w:ascii="宋体" w:hAnsi="宋体" w:cs="宋体"/>
          <w:kern w:val="0"/>
          <w:sz w:val="24"/>
          <w:szCs w:val="24"/>
          <w:highlight w:val="none"/>
        </w:rPr>
        <w:t xml:space="preserve"> </w:t>
      </w:r>
    </w:p>
    <w:p w14:paraId="1DD75EBE">
      <w:pPr>
        <w:spacing w:line="360" w:lineRule="auto"/>
        <w:jc w:val="center"/>
        <w:rPr>
          <w:rFonts w:ascii="宋体" w:hAnsi="宋体" w:cs="宋体"/>
          <w:b/>
          <w:bCs/>
          <w:spacing w:val="6"/>
          <w:sz w:val="24"/>
          <w:szCs w:val="24"/>
          <w:highlight w:val="none"/>
        </w:rPr>
      </w:pPr>
      <w:bookmarkStart w:id="202" w:name="OLE_LINK13"/>
      <w:bookmarkEnd w:id="202"/>
      <w:bookmarkStart w:id="203" w:name="OLE_LINK14"/>
    </w:p>
    <w:p w14:paraId="343130A5">
      <w:pPr>
        <w:spacing w:line="360" w:lineRule="auto"/>
        <w:jc w:val="center"/>
        <w:rPr>
          <w:rFonts w:ascii="宋体" w:hAnsi="宋体" w:cs="宋体"/>
          <w:b/>
          <w:bCs/>
          <w:spacing w:val="6"/>
          <w:sz w:val="24"/>
          <w:szCs w:val="24"/>
          <w:highlight w:val="none"/>
        </w:rPr>
      </w:pPr>
      <w:r>
        <w:rPr>
          <w:rFonts w:hint="eastAsia" w:ascii="宋体" w:hAnsi="宋体" w:cs="宋体"/>
          <w:b/>
          <w:bCs/>
          <w:spacing w:val="6"/>
          <w:sz w:val="24"/>
          <w:szCs w:val="24"/>
          <w:highlight w:val="none"/>
        </w:rPr>
        <w:br w:type="page"/>
      </w:r>
      <w:r>
        <w:rPr>
          <w:rFonts w:hint="eastAsia" w:ascii="宋体" w:hAnsi="Courier New" w:eastAsia="宋体" w:cs="Times New Roman"/>
          <w:b/>
          <w:bCs/>
          <w:kern w:val="0"/>
          <w:sz w:val="24"/>
          <w:szCs w:val="24"/>
          <w:highlight w:val="none"/>
        </w:rPr>
        <w:t>残疾</w:t>
      </w:r>
      <w:r>
        <w:rPr>
          <w:rFonts w:hint="eastAsia" w:ascii="宋体" w:hAnsi="Courier New"/>
          <w:b/>
          <w:bCs/>
          <w:kern w:val="0"/>
          <w:sz w:val="24"/>
          <w:szCs w:val="24"/>
          <w:highlight w:val="none"/>
        </w:rPr>
        <w:t>人福利性单位声明函</w:t>
      </w:r>
      <w:bookmarkEnd w:id="203"/>
      <w:r>
        <w:rPr>
          <w:rFonts w:hint="eastAsia" w:ascii="宋体" w:hAnsi="宋体" w:cs="宋体"/>
          <w:b/>
          <w:bCs/>
          <w:spacing w:val="6"/>
          <w:sz w:val="24"/>
          <w:szCs w:val="24"/>
          <w:highlight w:val="none"/>
        </w:rPr>
        <w:t>（如有）</w:t>
      </w:r>
    </w:p>
    <w:p w14:paraId="379AF6CF">
      <w:pPr>
        <w:spacing w:line="360" w:lineRule="auto"/>
        <w:rPr>
          <w:rFonts w:ascii="宋体" w:hAnsi="宋体" w:cs="宋体"/>
          <w:b/>
          <w:bCs/>
          <w:spacing w:val="6"/>
          <w:sz w:val="24"/>
          <w:szCs w:val="24"/>
          <w:highlight w:val="none"/>
        </w:rPr>
      </w:pPr>
      <w:r>
        <w:rPr>
          <w:rFonts w:hint="eastAsia" w:ascii="宋体" w:hAnsi="宋体" w:cs="宋体"/>
          <w:b/>
          <w:bCs/>
          <w:spacing w:val="6"/>
          <w:sz w:val="24"/>
          <w:szCs w:val="24"/>
          <w:highlight w:val="none"/>
        </w:rPr>
        <w:t xml:space="preserve"> </w:t>
      </w:r>
    </w:p>
    <w:p w14:paraId="52A74425">
      <w:pPr>
        <w:keepNext w:val="0"/>
        <w:keepLines w:val="0"/>
        <w:pageBreakBefore w:val="0"/>
        <w:widowControl w:val="0"/>
        <w:kinsoku/>
        <w:wordWrap/>
        <w:overflowPunct/>
        <w:topLinePunct w:val="0"/>
        <w:autoSpaceDE/>
        <w:autoSpaceDN/>
        <w:bidi w:val="0"/>
        <w:adjustRightInd/>
        <w:snapToGrid/>
        <w:spacing w:line="560" w:lineRule="exact"/>
        <w:ind w:firstLine="504" w:firstLineChars="200"/>
        <w:textAlignment w:val="auto"/>
        <w:rPr>
          <w:rFonts w:ascii="宋体" w:hAnsi="宋体" w:cs="宋体"/>
          <w:spacing w:val="6"/>
          <w:sz w:val="24"/>
          <w:szCs w:val="24"/>
          <w:highlight w:val="none"/>
        </w:rPr>
      </w:pPr>
      <w:r>
        <w:rPr>
          <w:rFonts w:hint="eastAsia" w:ascii="宋体" w:hAnsi="宋体" w:cs="宋体"/>
          <w:spacing w:val="6"/>
          <w:sz w:val="24"/>
          <w:szCs w:val="24"/>
          <w:highlight w:val="none"/>
        </w:rPr>
        <w:t>本单位郑重声明，根据《财政部 民政部 中国残疾人联合会关于促进残疾人就业政府采购政策的通知》（财库</w:t>
      </w:r>
      <w:r>
        <w:rPr>
          <w:rFonts w:hint="eastAsia" w:ascii="宋体" w:hAnsi="宋体" w:cs="宋体"/>
          <w:sz w:val="24"/>
          <w:szCs w:val="24"/>
          <w:highlight w:val="none"/>
        </w:rPr>
        <w:t>〔2017〕141</w:t>
      </w:r>
      <w:r>
        <w:rPr>
          <w:rFonts w:hint="eastAsia" w:ascii="宋体" w:hAnsi="宋体" w:cs="宋体"/>
          <w:spacing w:val="6"/>
          <w:sz w:val="24"/>
          <w:szCs w:val="24"/>
          <w:highlight w:val="none"/>
        </w:rPr>
        <w:t>号）的规定，本单位为符合条件的残疾人福利性单位，且本单位参加__________________单位的______________________项目采购活动提供本单位制造的货物（由本单位承担工程/提供服务），或者提供其他残疾人福利性单位制造的货物（不包括使用非残疾人福利性单位注册商标的货物）。</w:t>
      </w:r>
    </w:p>
    <w:p w14:paraId="26DC9740">
      <w:pPr>
        <w:spacing w:line="360" w:lineRule="auto"/>
        <w:ind w:firstLine="504" w:firstLineChars="200"/>
        <w:rPr>
          <w:rFonts w:ascii="宋体" w:hAnsi="宋体" w:cs="宋体"/>
          <w:spacing w:val="6"/>
          <w:sz w:val="24"/>
          <w:szCs w:val="24"/>
          <w:highlight w:val="none"/>
        </w:rPr>
      </w:pPr>
      <w:r>
        <w:rPr>
          <w:rFonts w:hint="eastAsia" w:ascii="宋体" w:hAnsi="宋体" w:cs="宋体"/>
          <w:spacing w:val="6"/>
          <w:sz w:val="24"/>
          <w:szCs w:val="24"/>
          <w:highlight w:val="none"/>
        </w:rPr>
        <w:t>本单位对上述声明的真实性负责。如有虚假，将依法承担相应责任。</w:t>
      </w:r>
    </w:p>
    <w:p w14:paraId="5042444A">
      <w:pPr>
        <w:spacing w:line="360" w:lineRule="auto"/>
        <w:ind w:firstLine="504" w:firstLineChars="200"/>
        <w:rPr>
          <w:rFonts w:ascii="宋体" w:hAnsi="宋体" w:cs="宋体"/>
          <w:spacing w:val="6"/>
          <w:sz w:val="24"/>
          <w:szCs w:val="24"/>
          <w:highlight w:val="none"/>
        </w:rPr>
      </w:pPr>
      <w:r>
        <w:rPr>
          <w:rFonts w:hint="eastAsia" w:ascii="宋体" w:hAnsi="宋体" w:cs="宋体"/>
          <w:spacing w:val="6"/>
          <w:sz w:val="24"/>
          <w:szCs w:val="24"/>
          <w:highlight w:val="none"/>
        </w:rPr>
        <w:t xml:space="preserve"> </w:t>
      </w:r>
    </w:p>
    <w:p w14:paraId="01959062">
      <w:pPr>
        <w:autoSpaceDE w:val="0"/>
        <w:autoSpaceDN w:val="0"/>
        <w:adjustRightInd w:val="0"/>
        <w:spacing w:line="360" w:lineRule="auto"/>
        <w:ind w:left="2601" w:right="-20"/>
        <w:jc w:val="left"/>
        <w:rPr>
          <w:rFonts w:ascii="宋体" w:hAnsi="宋体" w:cs="宋体"/>
          <w:kern w:val="0"/>
          <w:position w:val="-2"/>
          <w:sz w:val="24"/>
          <w:szCs w:val="24"/>
          <w:highlight w:val="none"/>
        </w:rPr>
      </w:pPr>
      <w:r>
        <w:rPr>
          <w:rFonts w:hint="eastAsia" w:ascii="宋体" w:hAnsi="宋体" w:cs="宋体"/>
          <w:kern w:val="0"/>
          <w:position w:val="-2"/>
          <w:sz w:val="24"/>
          <w:szCs w:val="24"/>
          <w:highlight w:val="none"/>
        </w:rPr>
        <w:t xml:space="preserve"> </w:t>
      </w:r>
    </w:p>
    <w:p w14:paraId="224C8CB3">
      <w:pPr>
        <w:autoSpaceDE w:val="0"/>
        <w:autoSpaceDN w:val="0"/>
        <w:adjustRightInd w:val="0"/>
        <w:spacing w:line="360" w:lineRule="auto"/>
        <w:ind w:left="2601" w:right="-20"/>
        <w:jc w:val="left"/>
        <w:rPr>
          <w:rFonts w:ascii="宋体" w:hAnsi="宋体" w:cs="宋体"/>
          <w:kern w:val="0"/>
          <w:position w:val="-2"/>
          <w:sz w:val="24"/>
          <w:szCs w:val="24"/>
          <w:highlight w:val="none"/>
        </w:rPr>
      </w:pPr>
      <w:r>
        <w:rPr>
          <w:rFonts w:hint="eastAsia" w:ascii="宋体" w:hAnsi="宋体" w:cs="宋体"/>
          <w:kern w:val="0"/>
          <w:position w:val="-2"/>
          <w:sz w:val="24"/>
          <w:szCs w:val="24"/>
          <w:highlight w:val="none"/>
        </w:rPr>
        <w:t xml:space="preserve"> </w:t>
      </w:r>
    </w:p>
    <w:p w14:paraId="4619CF42">
      <w:pPr>
        <w:autoSpaceDE w:val="0"/>
        <w:autoSpaceDN w:val="0"/>
        <w:adjustRightInd w:val="0"/>
        <w:spacing w:line="360" w:lineRule="auto"/>
        <w:ind w:left="2601" w:right="-20"/>
        <w:jc w:val="right"/>
        <w:rPr>
          <w:rFonts w:ascii="宋体" w:hAnsi="宋体" w:cs="宋体"/>
          <w:kern w:val="0"/>
          <w:sz w:val="24"/>
          <w:szCs w:val="24"/>
          <w:highlight w:val="none"/>
        </w:rPr>
      </w:pPr>
      <w:r>
        <w:rPr>
          <w:rFonts w:hint="eastAsia" w:ascii="宋体" w:hAnsi="宋体" w:cs="宋体"/>
          <w:kern w:val="0"/>
          <w:position w:val="-2"/>
          <w:sz w:val="24"/>
          <w:szCs w:val="24"/>
          <w:highlight w:val="none"/>
          <w:lang w:eastAsia="zh-CN"/>
        </w:rPr>
        <w:t>供应商</w:t>
      </w:r>
      <w:r>
        <w:rPr>
          <w:rFonts w:hint="eastAsia" w:ascii="宋体" w:hAnsi="宋体" w:cs="宋体"/>
          <w:spacing w:val="-2"/>
          <w:kern w:val="0"/>
          <w:position w:val="-2"/>
          <w:sz w:val="24"/>
          <w:szCs w:val="24"/>
          <w:highlight w:val="none"/>
        </w:rPr>
        <w:t>：</w:t>
      </w:r>
      <w:r>
        <w:rPr>
          <w:rFonts w:hint="eastAsia" w:ascii="宋体" w:hAnsi="宋体" w:cs="宋体"/>
          <w:spacing w:val="43"/>
          <w:kern w:val="0"/>
          <w:position w:val="-2"/>
          <w:sz w:val="24"/>
          <w:szCs w:val="24"/>
          <w:highlight w:val="none"/>
          <w:u w:val="single"/>
        </w:rPr>
        <w:t xml:space="preserve">         </w:t>
      </w:r>
      <w:r>
        <w:rPr>
          <w:rFonts w:hint="eastAsia" w:ascii="宋体" w:hAnsi="宋体" w:cs="宋体"/>
          <w:kern w:val="0"/>
          <w:position w:val="-2"/>
          <w:sz w:val="24"/>
          <w:szCs w:val="24"/>
          <w:highlight w:val="none"/>
        </w:rPr>
        <w:t>（盖单位公章）</w:t>
      </w:r>
    </w:p>
    <w:p w14:paraId="0EF7C610">
      <w:pPr>
        <w:autoSpaceDE w:val="0"/>
        <w:autoSpaceDN w:val="0"/>
        <w:adjustRightInd w:val="0"/>
        <w:spacing w:line="360" w:lineRule="auto"/>
        <w:jc w:val="left"/>
        <w:rPr>
          <w:rFonts w:ascii="宋体" w:hAnsi="宋体" w:cs="宋体"/>
          <w:kern w:val="0"/>
          <w:sz w:val="24"/>
          <w:szCs w:val="24"/>
          <w:highlight w:val="none"/>
        </w:rPr>
      </w:pPr>
      <w:r>
        <w:rPr>
          <w:rFonts w:hint="eastAsia" w:ascii="宋体" w:hAnsi="宋体" w:cs="宋体"/>
          <w:kern w:val="0"/>
          <w:sz w:val="24"/>
          <w:szCs w:val="24"/>
          <w:highlight w:val="none"/>
        </w:rPr>
        <w:t xml:space="preserve"> </w:t>
      </w:r>
    </w:p>
    <w:p w14:paraId="71313C35">
      <w:pPr>
        <w:pStyle w:val="12"/>
        <w:spacing w:line="360" w:lineRule="auto"/>
        <w:ind w:firstLine="480" w:firstLineChars="200"/>
        <w:jc w:val="right"/>
        <w:rPr>
          <w:rFonts w:hint="eastAsia" w:hAnsi="宋体"/>
          <w:sz w:val="24"/>
          <w:szCs w:val="24"/>
          <w:highlight w:val="none"/>
          <w:lang w:eastAsia="zh-CN"/>
        </w:rPr>
      </w:pPr>
      <w:r>
        <w:rPr>
          <w:rFonts w:hint="eastAsia" w:hAnsi="宋体" w:cs="宋体"/>
          <w:position w:val="-2"/>
          <w:sz w:val="24"/>
          <w:szCs w:val="24"/>
          <w:highlight w:val="none"/>
          <w:u w:val="single"/>
        </w:rPr>
        <w:t xml:space="preserve">      </w:t>
      </w:r>
      <w:r>
        <w:rPr>
          <w:rFonts w:hint="eastAsia" w:hAnsi="宋体" w:cs="宋体"/>
          <w:position w:val="-2"/>
          <w:sz w:val="24"/>
          <w:szCs w:val="24"/>
          <w:highlight w:val="none"/>
        </w:rPr>
        <w:t>年</w:t>
      </w:r>
      <w:r>
        <w:rPr>
          <w:rFonts w:hint="eastAsia" w:hAnsi="宋体" w:cs="宋体"/>
          <w:position w:val="-2"/>
          <w:sz w:val="24"/>
          <w:szCs w:val="24"/>
          <w:highlight w:val="none"/>
          <w:u w:val="single"/>
        </w:rPr>
        <w:t xml:space="preserve">     </w:t>
      </w:r>
      <w:r>
        <w:rPr>
          <w:rFonts w:hint="eastAsia" w:hAnsi="宋体" w:cs="宋体"/>
          <w:position w:val="-2"/>
          <w:sz w:val="24"/>
          <w:szCs w:val="24"/>
          <w:highlight w:val="none"/>
        </w:rPr>
        <w:t>月</w:t>
      </w:r>
      <w:r>
        <w:rPr>
          <w:rFonts w:hint="eastAsia" w:hAnsi="宋体" w:cs="宋体"/>
          <w:position w:val="-2"/>
          <w:sz w:val="24"/>
          <w:szCs w:val="24"/>
          <w:highlight w:val="none"/>
          <w:u w:val="single"/>
        </w:rPr>
        <w:t xml:space="preserve">    </w:t>
      </w:r>
      <w:r>
        <w:rPr>
          <w:rFonts w:hint="eastAsia" w:hAnsi="宋体" w:cs="宋体"/>
          <w:position w:val="-2"/>
          <w:sz w:val="24"/>
          <w:szCs w:val="24"/>
          <w:highlight w:val="none"/>
        </w:rPr>
        <w:t>日</w:t>
      </w:r>
    </w:p>
    <w:p w14:paraId="435DBB33">
      <w:pPr>
        <w:pStyle w:val="12"/>
        <w:spacing w:line="360" w:lineRule="auto"/>
        <w:ind w:firstLine="480" w:firstLineChars="200"/>
        <w:rPr>
          <w:rFonts w:hint="eastAsia" w:hAnsi="宋体"/>
          <w:sz w:val="24"/>
          <w:szCs w:val="24"/>
          <w:highlight w:val="none"/>
          <w:lang w:eastAsia="zh-CN"/>
        </w:rPr>
      </w:pPr>
    </w:p>
    <w:p w14:paraId="3D6FDEA8">
      <w:pPr>
        <w:pStyle w:val="12"/>
        <w:spacing w:line="360" w:lineRule="auto"/>
        <w:ind w:firstLine="480" w:firstLineChars="200"/>
        <w:rPr>
          <w:rFonts w:hint="eastAsia" w:hAnsi="宋体"/>
          <w:sz w:val="24"/>
          <w:szCs w:val="24"/>
          <w:highlight w:val="none"/>
          <w:lang w:eastAsia="zh-CN"/>
        </w:rPr>
      </w:pPr>
    </w:p>
    <w:p w14:paraId="656EE569">
      <w:pPr>
        <w:pStyle w:val="12"/>
        <w:spacing w:line="360" w:lineRule="auto"/>
        <w:ind w:firstLine="480" w:firstLineChars="200"/>
        <w:rPr>
          <w:rFonts w:hint="eastAsia" w:hAnsi="宋体"/>
          <w:sz w:val="24"/>
          <w:szCs w:val="24"/>
          <w:highlight w:val="none"/>
          <w:lang w:eastAsia="zh-CN"/>
        </w:rPr>
      </w:pPr>
    </w:p>
    <w:p w14:paraId="587949C2">
      <w:pPr>
        <w:pStyle w:val="12"/>
        <w:spacing w:line="360" w:lineRule="auto"/>
        <w:ind w:firstLine="480" w:firstLineChars="200"/>
        <w:rPr>
          <w:rFonts w:hint="eastAsia" w:hAnsi="宋体"/>
          <w:sz w:val="24"/>
          <w:szCs w:val="24"/>
          <w:highlight w:val="none"/>
          <w:lang w:eastAsia="zh-CN"/>
        </w:rPr>
      </w:pPr>
    </w:p>
    <w:p w14:paraId="09A016CC">
      <w:pPr>
        <w:pStyle w:val="12"/>
        <w:spacing w:line="360" w:lineRule="auto"/>
        <w:ind w:firstLine="480" w:firstLineChars="200"/>
        <w:rPr>
          <w:rFonts w:hint="eastAsia"/>
          <w:sz w:val="24"/>
          <w:szCs w:val="24"/>
          <w:highlight w:val="none"/>
          <w:lang w:eastAsia="zh-CN"/>
        </w:rPr>
      </w:pPr>
    </w:p>
    <w:p w14:paraId="7FE7E752">
      <w:pPr>
        <w:pStyle w:val="12"/>
        <w:spacing w:line="360" w:lineRule="auto"/>
        <w:ind w:firstLine="480" w:firstLineChars="200"/>
        <w:rPr>
          <w:rFonts w:hint="eastAsia"/>
          <w:sz w:val="24"/>
          <w:szCs w:val="24"/>
          <w:highlight w:val="none"/>
          <w:lang w:eastAsia="zh-CN"/>
        </w:rPr>
      </w:pPr>
    </w:p>
    <w:p w14:paraId="1D56FB41">
      <w:pPr>
        <w:pStyle w:val="12"/>
        <w:spacing w:line="360" w:lineRule="auto"/>
        <w:ind w:firstLine="480" w:firstLineChars="200"/>
        <w:rPr>
          <w:rFonts w:hint="eastAsia"/>
          <w:sz w:val="24"/>
          <w:szCs w:val="24"/>
          <w:highlight w:val="none"/>
          <w:lang w:eastAsia="zh-CN"/>
        </w:rPr>
      </w:pPr>
    </w:p>
    <w:p w14:paraId="2B4EF18E">
      <w:pPr>
        <w:pStyle w:val="12"/>
        <w:spacing w:line="360" w:lineRule="auto"/>
        <w:ind w:firstLine="480" w:firstLineChars="200"/>
        <w:rPr>
          <w:rFonts w:hint="eastAsia"/>
          <w:sz w:val="24"/>
          <w:szCs w:val="24"/>
          <w:highlight w:val="none"/>
          <w:lang w:eastAsia="zh-CN"/>
        </w:rPr>
      </w:pPr>
    </w:p>
    <w:p w14:paraId="3744A244">
      <w:pPr>
        <w:pStyle w:val="12"/>
        <w:spacing w:line="360" w:lineRule="auto"/>
        <w:ind w:firstLine="480" w:firstLineChars="200"/>
        <w:rPr>
          <w:rFonts w:hint="eastAsia"/>
          <w:sz w:val="24"/>
          <w:szCs w:val="24"/>
          <w:highlight w:val="none"/>
          <w:lang w:eastAsia="zh-CN"/>
        </w:rPr>
      </w:pPr>
    </w:p>
    <w:p w14:paraId="754E1462">
      <w:pPr>
        <w:pStyle w:val="12"/>
        <w:spacing w:line="360" w:lineRule="auto"/>
        <w:ind w:firstLine="480" w:firstLineChars="200"/>
        <w:rPr>
          <w:rFonts w:hint="eastAsia"/>
          <w:sz w:val="24"/>
          <w:szCs w:val="24"/>
          <w:highlight w:val="none"/>
          <w:lang w:eastAsia="zh-CN"/>
        </w:rPr>
      </w:pPr>
    </w:p>
    <w:p w14:paraId="3BA2F134">
      <w:pPr>
        <w:pStyle w:val="12"/>
        <w:spacing w:line="360" w:lineRule="auto"/>
        <w:ind w:firstLine="480" w:firstLineChars="200"/>
        <w:rPr>
          <w:rFonts w:hint="eastAsia"/>
          <w:sz w:val="24"/>
          <w:szCs w:val="24"/>
          <w:highlight w:val="none"/>
          <w:lang w:eastAsia="zh-CN"/>
        </w:rPr>
      </w:pPr>
    </w:p>
    <w:p w14:paraId="4E0C34A0">
      <w:pPr>
        <w:pStyle w:val="12"/>
        <w:spacing w:line="360" w:lineRule="auto"/>
        <w:ind w:firstLine="480" w:firstLineChars="200"/>
        <w:rPr>
          <w:rFonts w:hint="eastAsia"/>
          <w:sz w:val="24"/>
          <w:szCs w:val="24"/>
          <w:highlight w:val="none"/>
          <w:lang w:eastAsia="zh-CN"/>
        </w:rPr>
      </w:pPr>
    </w:p>
    <w:p w14:paraId="7A61FBB5">
      <w:pPr>
        <w:pStyle w:val="2"/>
        <w:keepNext/>
        <w:keepLines/>
        <w:pageBreakBefore w:val="0"/>
        <w:widowControl w:val="0"/>
        <w:numPr>
          <w:ilvl w:val="0"/>
          <w:numId w:val="0"/>
        </w:numPr>
        <w:kinsoku/>
        <w:wordWrap/>
        <w:overflowPunct/>
        <w:topLinePunct w:val="0"/>
        <w:autoSpaceDE/>
        <w:autoSpaceDN/>
        <w:bidi w:val="0"/>
        <w:adjustRightInd/>
        <w:snapToGrid/>
        <w:spacing w:before="0" w:after="0"/>
        <w:ind w:leftChars="0"/>
        <w:jc w:val="center"/>
        <w:textAlignment w:val="auto"/>
        <w:rPr>
          <w:rFonts w:hint="eastAsia" w:ascii="宋体" w:hAnsi="宋体" w:eastAsia="宋体" w:cs="宋体"/>
          <w:b/>
          <w:bCs/>
          <w:color w:val="auto"/>
          <w:sz w:val="28"/>
          <w:szCs w:val="28"/>
          <w:highlight w:val="none"/>
          <w:lang w:val="zh-CN" w:eastAsia="zh-CN"/>
        </w:rPr>
      </w:pPr>
      <w:r>
        <w:rPr>
          <w:rFonts w:hint="eastAsia"/>
          <w:sz w:val="24"/>
          <w:szCs w:val="24"/>
          <w:highlight w:val="none"/>
          <w:lang w:eastAsia="zh-CN"/>
        </w:rPr>
        <w:br w:type="page"/>
      </w:r>
      <w:r>
        <w:rPr>
          <w:rFonts w:hint="eastAsia" w:ascii="宋体" w:hAnsi="宋体" w:eastAsia="宋体" w:cs="宋体"/>
          <w:b/>
          <w:bCs/>
          <w:color w:val="auto"/>
          <w:sz w:val="24"/>
          <w:szCs w:val="24"/>
          <w:highlight w:val="none"/>
          <w:lang w:val="zh-TW" w:eastAsia="zh-CN"/>
        </w:rPr>
        <w:t>附件</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zh-TW" w:eastAsia="zh-CN"/>
        </w:rPr>
        <w:t>关于符合本国产品标准的声明函</w:t>
      </w:r>
    </w:p>
    <w:p w14:paraId="3A815A1D">
      <w:pPr>
        <w:autoSpaceDE w:val="0"/>
        <w:autoSpaceDN w:val="0"/>
        <w:adjustRightInd w:val="0"/>
        <w:snapToGrid w:val="0"/>
        <w:spacing w:line="360" w:lineRule="auto"/>
        <w:ind w:firstLine="420" w:firstLineChars="200"/>
        <w:jc w:val="left"/>
        <w:rPr>
          <w:rFonts w:hint="eastAsia" w:ascii="宋体" w:hAnsi="宋体" w:eastAsia="宋体" w:cs="宋体"/>
          <w:color w:val="auto"/>
          <w:kern w:val="2"/>
          <w:sz w:val="21"/>
          <w:szCs w:val="21"/>
          <w:highlight w:val="none"/>
        </w:rPr>
      </w:pPr>
    </w:p>
    <w:p w14:paraId="3209A0AF">
      <w:pPr>
        <w:keepNext w:val="0"/>
        <w:keepLines w:val="0"/>
        <w:pageBreakBefore w:val="0"/>
        <w:widowControl w:val="0"/>
        <w:kinsoku/>
        <w:overflowPunct/>
        <w:topLinePunct w:val="0"/>
        <w:autoSpaceDE w:val="0"/>
        <w:autoSpaceDN w:val="0"/>
        <w:bidi w:val="0"/>
        <w:adjustRightInd w:val="0"/>
        <w:snapToGrid w:val="0"/>
        <w:spacing w:line="560" w:lineRule="exact"/>
        <w:ind w:firstLine="480" w:firstLineChars="200"/>
        <w:jc w:val="left"/>
        <w:textAlignment w:val="auto"/>
        <w:rPr>
          <w:rFonts w:hint="eastAsia" w:ascii="宋体" w:hAnsi="宋体" w:eastAsia="宋体" w:cs="宋体"/>
          <w:color w:val="auto"/>
          <w:kern w:val="0"/>
          <w:sz w:val="24"/>
          <w:szCs w:val="24"/>
          <w:lang w:val="zh-TW" w:eastAsia="zh-TW"/>
        </w:rPr>
      </w:pPr>
      <w:r>
        <w:rPr>
          <w:rFonts w:hint="eastAsia" w:ascii="宋体" w:hAnsi="宋体" w:eastAsia="宋体" w:cs="宋体"/>
          <w:color w:val="auto"/>
          <w:kern w:val="0"/>
          <w:sz w:val="24"/>
          <w:szCs w:val="24"/>
          <w:lang w:val="zh-TW" w:eastAsia="zh-TW"/>
        </w:rPr>
        <w:t>本公司（单位）郑重声明，根据《国务院办公厅关于在政府采购中实施本国产品标准及相关政策的通知》（国办发〔2025〕34号）的规定，本公司（单位）提供的以下产品属于本国产品。具体情况如下：</w:t>
      </w:r>
    </w:p>
    <w:p w14:paraId="6B0809D2">
      <w:pPr>
        <w:keepNext w:val="0"/>
        <w:keepLines w:val="0"/>
        <w:pageBreakBefore w:val="0"/>
        <w:widowControl w:val="0"/>
        <w:kinsoku/>
        <w:overflowPunct/>
        <w:topLinePunct w:val="0"/>
        <w:autoSpaceDE w:val="0"/>
        <w:autoSpaceDN w:val="0"/>
        <w:bidi w:val="0"/>
        <w:adjustRightInd w:val="0"/>
        <w:snapToGrid w:val="0"/>
        <w:spacing w:line="560" w:lineRule="exact"/>
        <w:ind w:firstLine="480" w:firstLineChars="200"/>
        <w:jc w:val="left"/>
        <w:textAlignment w:val="auto"/>
        <w:rPr>
          <w:rFonts w:hint="eastAsia" w:ascii="宋体" w:hAnsi="宋体" w:eastAsia="宋体" w:cs="宋体"/>
          <w:color w:val="auto"/>
          <w:kern w:val="0"/>
          <w:sz w:val="24"/>
          <w:szCs w:val="24"/>
          <w:lang w:val="zh-TW" w:eastAsia="zh-TW"/>
        </w:rPr>
      </w:pPr>
      <w:r>
        <w:rPr>
          <w:rFonts w:hint="eastAsia" w:ascii="宋体" w:hAnsi="宋体" w:eastAsia="宋体" w:cs="宋体"/>
          <w:color w:val="auto"/>
          <w:kern w:val="0"/>
          <w:sz w:val="24"/>
          <w:szCs w:val="24"/>
          <w:lang w:val="zh-TW" w:eastAsia="zh-TW"/>
        </w:rPr>
        <w:t xml:space="preserve">1. </w:t>
      </w:r>
      <w:r>
        <w:rPr>
          <w:rFonts w:hint="eastAsia" w:ascii="宋体" w:hAnsi="宋体" w:eastAsia="宋体" w:cs="宋体"/>
          <w:color w:val="auto"/>
          <w:kern w:val="0"/>
          <w:sz w:val="24"/>
          <w:szCs w:val="24"/>
          <w:u w:val="single"/>
          <w:lang w:val="zh-TW" w:eastAsia="zh-TW"/>
        </w:rPr>
        <w:t xml:space="preserve">（产品名称1）  </w:t>
      </w:r>
      <w:r>
        <w:rPr>
          <w:rFonts w:hint="eastAsia" w:ascii="宋体" w:hAnsi="宋体" w:eastAsia="宋体" w:cs="宋体"/>
          <w:color w:val="auto"/>
          <w:kern w:val="0"/>
          <w:sz w:val="24"/>
          <w:szCs w:val="24"/>
          <w:lang w:val="zh-TW" w:eastAsia="zh-TW"/>
        </w:rPr>
        <w:t>，生产厂为</w:t>
      </w:r>
      <w:r>
        <w:rPr>
          <w:rFonts w:hint="eastAsia" w:ascii="宋体" w:hAnsi="宋体" w:eastAsia="宋体" w:cs="宋体"/>
          <w:color w:val="auto"/>
          <w:kern w:val="0"/>
          <w:sz w:val="24"/>
          <w:szCs w:val="24"/>
          <w:u w:val="single"/>
          <w:lang w:val="zh-TW" w:eastAsia="zh-TW"/>
        </w:rPr>
        <w:t xml:space="preserve">  （厂名）  </w:t>
      </w:r>
      <w:r>
        <w:rPr>
          <w:rFonts w:hint="eastAsia" w:ascii="宋体" w:hAnsi="宋体" w:eastAsia="宋体" w:cs="宋体"/>
          <w:color w:val="auto"/>
          <w:kern w:val="0"/>
          <w:sz w:val="24"/>
          <w:szCs w:val="24"/>
          <w:lang w:val="zh-TW" w:eastAsia="zh-TW"/>
        </w:rPr>
        <w:t>，厂址为</w:t>
      </w:r>
      <w:r>
        <w:rPr>
          <w:rFonts w:hint="eastAsia" w:ascii="宋体" w:hAnsi="宋体" w:eastAsia="宋体" w:cs="宋体"/>
          <w:color w:val="auto"/>
          <w:kern w:val="0"/>
          <w:sz w:val="24"/>
          <w:szCs w:val="24"/>
          <w:u w:val="single"/>
          <w:lang w:val="zh-TW" w:eastAsia="zh-TW"/>
        </w:rPr>
        <w:t xml:space="preserve">  （生产厂址）  </w:t>
      </w:r>
      <w:r>
        <w:rPr>
          <w:rFonts w:hint="eastAsia" w:ascii="宋体" w:hAnsi="宋体" w:eastAsia="宋体" w:cs="宋体"/>
          <w:color w:val="auto"/>
          <w:kern w:val="0"/>
          <w:sz w:val="24"/>
          <w:szCs w:val="24"/>
          <w:lang w:val="zh-TW" w:eastAsia="zh-TW"/>
        </w:rPr>
        <w:t xml:space="preserve">。 </w:t>
      </w:r>
      <w:r>
        <w:rPr>
          <w:rFonts w:hint="eastAsia" w:ascii="宋体" w:hAnsi="宋体" w:eastAsia="宋体" w:cs="宋体"/>
          <w:color w:val="auto"/>
          <w:kern w:val="0"/>
          <w:sz w:val="24"/>
          <w:szCs w:val="24"/>
          <w:u w:val="single"/>
          <w:lang w:val="zh-TW" w:eastAsia="zh-TW"/>
        </w:rPr>
        <w:t xml:space="preserve">（产品名称1）  </w:t>
      </w:r>
      <w:r>
        <w:rPr>
          <w:rFonts w:hint="eastAsia" w:ascii="宋体" w:hAnsi="宋体" w:eastAsia="宋体" w:cs="宋体"/>
          <w:color w:val="auto"/>
          <w:kern w:val="0"/>
          <w:sz w:val="24"/>
          <w:szCs w:val="24"/>
          <w:lang w:val="zh-TW" w:eastAsia="zh-TW"/>
        </w:rPr>
        <w:t>的中国境内生产的组件成本占比≥</w:t>
      </w:r>
      <w:r>
        <w:rPr>
          <w:rFonts w:hint="eastAsia" w:ascii="宋体" w:hAnsi="宋体" w:eastAsia="宋体" w:cs="宋体"/>
          <w:color w:val="auto"/>
          <w:kern w:val="0"/>
          <w:sz w:val="24"/>
          <w:szCs w:val="24"/>
          <w:u w:val="single"/>
          <w:lang w:val="zh-TW" w:eastAsia="zh-TW"/>
        </w:rPr>
        <w:t>（规定比例）</w:t>
      </w:r>
      <w:r>
        <w:rPr>
          <w:rFonts w:hint="eastAsia" w:ascii="宋体" w:hAnsi="宋体" w:eastAsia="宋体" w:cs="宋体"/>
          <w:color w:val="auto"/>
          <w:kern w:val="0"/>
          <w:sz w:val="24"/>
          <w:szCs w:val="24"/>
          <w:lang w:val="zh-TW" w:eastAsia="zh-TW"/>
        </w:rPr>
        <w:t>。</w:t>
      </w:r>
      <w:r>
        <w:rPr>
          <w:rFonts w:hint="eastAsia" w:ascii="宋体" w:hAnsi="宋体" w:eastAsia="宋体" w:cs="宋体"/>
          <w:color w:val="auto"/>
          <w:kern w:val="0"/>
          <w:sz w:val="24"/>
          <w:szCs w:val="24"/>
          <w:u w:val="single"/>
          <w:lang w:val="zh-TW" w:eastAsia="zh-TW"/>
        </w:rPr>
        <w:t xml:space="preserve"> （产品名称1） </w:t>
      </w:r>
      <w:r>
        <w:rPr>
          <w:rFonts w:hint="eastAsia" w:ascii="宋体" w:hAnsi="宋体" w:eastAsia="宋体" w:cs="宋体"/>
          <w:color w:val="auto"/>
          <w:kern w:val="0"/>
          <w:sz w:val="24"/>
          <w:szCs w:val="24"/>
          <w:lang w:val="zh-TW" w:eastAsia="zh-TW"/>
        </w:rPr>
        <w:t>的</w:t>
      </w:r>
      <w:r>
        <w:rPr>
          <w:rFonts w:hint="eastAsia" w:ascii="宋体" w:hAnsi="宋体" w:eastAsia="宋体" w:cs="宋体"/>
          <w:color w:val="auto"/>
          <w:kern w:val="0"/>
          <w:sz w:val="24"/>
          <w:szCs w:val="24"/>
          <w:u w:val="single"/>
          <w:lang w:val="zh-TW" w:eastAsia="zh-TW"/>
        </w:rPr>
        <w:t xml:space="preserve">  （关键组件） </w:t>
      </w:r>
      <w:r>
        <w:rPr>
          <w:rFonts w:hint="eastAsia" w:ascii="宋体" w:hAnsi="宋体" w:eastAsia="宋体" w:cs="宋体"/>
          <w:color w:val="auto"/>
          <w:kern w:val="0"/>
          <w:sz w:val="24"/>
          <w:szCs w:val="24"/>
          <w:lang w:val="zh-TW" w:eastAsia="zh-TW"/>
        </w:rPr>
        <w:t>在中国境内生产。</w:t>
      </w:r>
      <w:r>
        <w:rPr>
          <w:rFonts w:hint="eastAsia" w:ascii="宋体" w:hAnsi="宋体" w:eastAsia="宋体" w:cs="宋体"/>
          <w:color w:val="auto"/>
          <w:kern w:val="0"/>
          <w:sz w:val="24"/>
          <w:szCs w:val="24"/>
          <w:u w:val="single"/>
          <w:lang w:val="zh-TW" w:eastAsia="zh-TW"/>
        </w:rPr>
        <w:t xml:space="preserve"> （产品名称1） </w:t>
      </w:r>
      <w:r>
        <w:rPr>
          <w:rFonts w:hint="eastAsia" w:ascii="宋体" w:hAnsi="宋体" w:eastAsia="宋体" w:cs="宋体"/>
          <w:color w:val="auto"/>
          <w:kern w:val="0"/>
          <w:sz w:val="24"/>
          <w:szCs w:val="24"/>
          <w:lang w:val="zh-TW" w:eastAsia="zh-TW"/>
        </w:rPr>
        <w:t>的</w:t>
      </w:r>
      <w:r>
        <w:rPr>
          <w:rFonts w:hint="eastAsia" w:ascii="宋体" w:hAnsi="宋体" w:eastAsia="宋体" w:cs="宋体"/>
          <w:color w:val="auto"/>
          <w:kern w:val="0"/>
          <w:sz w:val="24"/>
          <w:szCs w:val="24"/>
          <w:u w:val="single"/>
          <w:lang w:val="zh-TW" w:eastAsia="zh-TW"/>
        </w:rPr>
        <w:t xml:space="preserve">  （关键工序） </w:t>
      </w:r>
      <w:r>
        <w:rPr>
          <w:rFonts w:hint="eastAsia" w:ascii="宋体" w:hAnsi="宋体" w:eastAsia="宋体" w:cs="宋体"/>
          <w:color w:val="auto"/>
          <w:kern w:val="0"/>
          <w:sz w:val="24"/>
          <w:szCs w:val="24"/>
          <w:lang w:val="zh-TW" w:eastAsia="zh-TW"/>
        </w:rPr>
        <w:t>在中国境内完成。</w:t>
      </w:r>
    </w:p>
    <w:p w14:paraId="4B81FA2C">
      <w:pPr>
        <w:keepNext w:val="0"/>
        <w:keepLines w:val="0"/>
        <w:pageBreakBefore w:val="0"/>
        <w:widowControl w:val="0"/>
        <w:kinsoku/>
        <w:overflowPunct/>
        <w:topLinePunct w:val="0"/>
        <w:autoSpaceDE w:val="0"/>
        <w:autoSpaceDN w:val="0"/>
        <w:bidi w:val="0"/>
        <w:adjustRightInd w:val="0"/>
        <w:snapToGrid w:val="0"/>
        <w:spacing w:line="560" w:lineRule="exact"/>
        <w:ind w:firstLine="480" w:firstLineChars="200"/>
        <w:jc w:val="left"/>
        <w:textAlignment w:val="auto"/>
        <w:rPr>
          <w:rFonts w:hint="eastAsia" w:ascii="宋体" w:hAnsi="宋体" w:eastAsia="宋体" w:cs="宋体"/>
          <w:color w:val="auto"/>
          <w:kern w:val="0"/>
          <w:sz w:val="24"/>
          <w:szCs w:val="24"/>
          <w:lang w:val="zh-TW" w:eastAsia="zh-TW"/>
        </w:rPr>
      </w:pPr>
      <w:r>
        <w:rPr>
          <w:rFonts w:hint="eastAsia" w:ascii="宋体" w:hAnsi="宋体" w:eastAsia="宋体" w:cs="宋体"/>
          <w:color w:val="auto"/>
          <w:kern w:val="0"/>
          <w:sz w:val="24"/>
          <w:szCs w:val="24"/>
          <w:lang w:val="zh-TW" w:eastAsia="zh-TW"/>
        </w:rPr>
        <w:t>2.</w:t>
      </w:r>
      <w:r>
        <w:rPr>
          <w:rFonts w:hint="eastAsia" w:ascii="宋体" w:hAnsi="宋体" w:eastAsia="宋体" w:cs="宋体"/>
          <w:color w:val="auto"/>
          <w:kern w:val="0"/>
          <w:sz w:val="24"/>
          <w:szCs w:val="24"/>
          <w:u w:val="single"/>
          <w:lang w:val="zh-TW" w:eastAsia="zh-TW"/>
        </w:rPr>
        <w:t>（产品名称</w:t>
      </w:r>
      <w:r>
        <w:rPr>
          <w:rFonts w:hint="eastAsia" w:ascii="宋体" w:hAnsi="宋体" w:eastAsia="宋体" w:cs="宋体"/>
          <w:color w:val="auto"/>
          <w:kern w:val="0"/>
          <w:sz w:val="24"/>
          <w:szCs w:val="24"/>
          <w:u w:val="single"/>
          <w:lang w:val="en-US" w:eastAsia="zh-CN"/>
        </w:rPr>
        <w:t>2</w:t>
      </w:r>
      <w:r>
        <w:rPr>
          <w:rFonts w:hint="eastAsia" w:ascii="宋体" w:hAnsi="宋体" w:eastAsia="宋体" w:cs="宋体"/>
          <w:color w:val="auto"/>
          <w:kern w:val="0"/>
          <w:sz w:val="24"/>
          <w:szCs w:val="24"/>
          <w:u w:val="single"/>
          <w:lang w:val="zh-TW" w:eastAsia="zh-TW"/>
        </w:rPr>
        <w:t xml:space="preserve">）  </w:t>
      </w:r>
      <w:r>
        <w:rPr>
          <w:rFonts w:hint="eastAsia" w:ascii="宋体" w:hAnsi="宋体" w:eastAsia="宋体" w:cs="宋体"/>
          <w:color w:val="auto"/>
          <w:kern w:val="0"/>
          <w:sz w:val="24"/>
          <w:szCs w:val="24"/>
          <w:lang w:val="zh-TW" w:eastAsia="zh-TW"/>
        </w:rPr>
        <w:t>，生产厂为</w:t>
      </w:r>
      <w:r>
        <w:rPr>
          <w:rFonts w:hint="eastAsia" w:ascii="宋体" w:hAnsi="宋体" w:eastAsia="宋体" w:cs="宋体"/>
          <w:color w:val="auto"/>
          <w:kern w:val="0"/>
          <w:sz w:val="24"/>
          <w:szCs w:val="24"/>
          <w:u w:val="single"/>
          <w:lang w:val="zh-TW" w:eastAsia="zh-TW"/>
        </w:rPr>
        <w:t xml:space="preserve">  （厂名）  </w:t>
      </w:r>
      <w:r>
        <w:rPr>
          <w:rFonts w:hint="eastAsia" w:ascii="宋体" w:hAnsi="宋体" w:eastAsia="宋体" w:cs="宋体"/>
          <w:color w:val="auto"/>
          <w:kern w:val="0"/>
          <w:sz w:val="24"/>
          <w:szCs w:val="24"/>
          <w:lang w:val="zh-TW" w:eastAsia="zh-TW"/>
        </w:rPr>
        <w:t>，厂址为</w:t>
      </w:r>
      <w:r>
        <w:rPr>
          <w:rFonts w:hint="eastAsia" w:ascii="宋体" w:hAnsi="宋体" w:eastAsia="宋体" w:cs="宋体"/>
          <w:color w:val="auto"/>
          <w:kern w:val="0"/>
          <w:sz w:val="24"/>
          <w:szCs w:val="24"/>
          <w:u w:val="single"/>
          <w:lang w:val="zh-TW" w:eastAsia="zh-TW"/>
        </w:rPr>
        <w:t xml:space="preserve">  （生产厂址）  </w:t>
      </w:r>
      <w:r>
        <w:rPr>
          <w:rFonts w:hint="eastAsia" w:ascii="宋体" w:hAnsi="宋体" w:eastAsia="宋体" w:cs="宋体"/>
          <w:color w:val="auto"/>
          <w:kern w:val="0"/>
          <w:sz w:val="24"/>
          <w:szCs w:val="24"/>
          <w:lang w:val="zh-TW" w:eastAsia="zh-TW"/>
        </w:rPr>
        <w:t xml:space="preserve">。 </w:t>
      </w:r>
      <w:r>
        <w:rPr>
          <w:rFonts w:hint="eastAsia" w:ascii="宋体" w:hAnsi="宋体" w:eastAsia="宋体" w:cs="宋体"/>
          <w:color w:val="auto"/>
          <w:kern w:val="0"/>
          <w:sz w:val="24"/>
          <w:szCs w:val="24"/>
          <w:u w:val="single"/>
          <w:lang w:val="zh-TW" w:eastAsia="zh-TW"/>
        </w:rPr>
        <w:t>（产品名称</w:t>
      </w:r>
      <w:r>
        <w:rPr>
          <w:rFonts w:hint="eastAsia" w:ascii="宋体" w:hAnsi="宋体" w:eastAsia="宋体" w:cs="宋体"/>
          <w:color w:val="auto"/>
          <w:kern w:val="0"/>
          <w:sz w:val="24"/>
          <w:szCs w:val="24"/>
          <w:u w:val="single"/>
          <w:lang w:val="en-US" w:eastAsia="zh-CN"/>
        </w:rPr>
        <w:t>2</w:t>
      </w:r>
      <w:r>
        <w:rPr>
          <w:rFonts w:hint="eastAsia" w:ascii="宋体" w:hAnsi="宋体" w:eastAsia="宋体" w:cs="宋体"/>
          <w:color w:val="auto"/>
          <w:kern w:val="0"/>
          <w:sz w:val="24"/>
          <w:szCs w:val="24"/>
          <w:u w:val="single"/>
          <w:lang w:val="zh-TW" w:eastAsia="zh-TW"/>
        </w:rPr>
        <w:t xml:space="preserve">）  </w:t>
      </w:r>
      <w:r>
        <w:rPr>
          <w:rFonts w:hint="eastAsia" w:ascii="宋体" w:hAnsi="宋体" w:eastAsia="宋体" w:cs="宋体"/>
          <w:color w:val="auto"/>
          <w:kern w:val="0"/>
          <w:sz w:val="24"/>
          <w:szCs w:val="24"/>
          <w:lang w:val="zh-TW" w:eastAsia="zh-TW"/>
        </w:rPr>
        <w:t>的中国境内生产的组件成本占比≥</w:t>
      </w:r>
      <w:r>
        <w:rPr>
          <w:rFonts w:hint="eastAsia" w:ascii="宋体" w:hAnsi="宋体" w:eastAsia="宋体" w:cs="宋体"/>
          <w:color w:val="auto"/>
          <w:kern w:val="0"/>
          <w:sz w:val="24"/>
          <w:szCs w:val="24"/>
          <w:u w:val="single"/>
          <w:lang w:val="zh-TW" w:eastAsia="zh-TW"/>
        </w:rPr>
        <w:t>（规定比例）</w:t>
      </w:r>
      <w:r>
        <w:rPr>
          <w:rFonts w:hint="eastAsia" w:ascii="宋体" w:hAnsi="宋体" w:eastAsia="宋体" w:cs="宋体"/>
          <w:color w:val="auto"/>
          <w:kern w:val="0"/>
          <w:sz w:val="24"/>
          <w:szCs w:val="24"/>
          <w:lang w:val="zh-TW" w:eastAsia="zh-TW"/>
        </w:rPr>
        <w:t>。</w:t>
      </w:r>
      <w:r>
        <w:rPr>
          <w:rFonts w:hint="eastAsia" w:ascii="宋体" w:hAnsi="宋体" w:eastAsia="宋体" w:cs="宋体"/>
          <w:color w:val="auto"/>
          <w:kern w:val="0"/>
          <w:sz w:val="24"/>
          <w:szCs w:val="24"/>
          <w:u w:val="single"/>
          <w:lang w:val="zh-TW" w:eastAsia="zh-TW"/>
        </w:rPr>
        <w:t xml:space="preserve"> （产品名称</w:t>
      </w:r>
      <w:r>
        <w:rPr>
          <w:rFonts w:hint="eastAsia" w:ascii="宋体" w:hAnsi="宋体" w:eastAsia="宋体" w:cs="宋体"/>
          <w:color w:val="auto"/>
          <w:kern w:val="0"/>
          <w:sz w:val="24"/>
          <w:szCs w:val="24"/>
          <w:u w:val="single"/>
          <w:lang w:val="en-US" w:eastAsia="zh-CN"/>
        </w:rPr>
        <w:t>2</w:t>
      </w:r>
      <w:r>
        <w:rPr>
          <w:rFonts w:hint="eastAsia" w:ascii="宋体" w:hAnsi="宋体" w:eastAsia="宋体" w:cs="宋体"/>
          <w:color w:val="auto"/>
          <w:kern w:val="0"/>
          <w:sz w:val="24"/>
          <w:szCs w:val="24"/>
          <w:u w:val="single"/>
          <w:lang w:val="zh-TW" w:eastAsia="zh-TW"/>
        </w:rPr>
        <w:t xml:space="preserve">） </w:t>
      </w:r>
      <w:r>
        <w:rPr>
          <w:rFonts w:hint="eastAsia" w:ascii="宋体" w:hAnsi="宋体" w:eastAsia="宋体" w:cs="宋体"/>
          <w:color w:val="auto"/>
          <w:kern w:val="0"/>
          <w:sz w:val="24"/>
          <w:szCs w:val="24"/>
          <w:lang w:val="zh-TW" w:eastAsia="zh-TW"/>
        </w:rPr>
        <w:t>的</w:t>
      </w:r>
      <w:r>
        <w:rPr>
          <w:rFonts w:hint="eastAsia" w:ascii="宋体" w:hAnsi="宋体" w:eastAsia="宋体" w:cs="宋体"/>
          <w:color w:val="auto"/>
          <w:kern w:val="0"/>
          <w:sz w:val="24"/>
          <w:szCs w:val="24"/>
          <w:u w:val="single"/>
          <w:lang w:val="zh-TW" w:eastAsia="zh-TW"/>
        </w:rPr>
        <w:t xml:space="preserve">  （关键组件） </w:t>
      </w:r>
      <w:r>
        <w:rPr>
          <w:rFonts w:hint="eastAsia" w:ascii="宋体" w:hAnsi="宋体" w:eastAsia="宋体" w:cs="宋体"/>
          <w:color w:val="auto"/>
          <w:kern w:val="0"/>
          <w:sz w:val="24"/>
          <w:szCs w:val="24"/>
          <w:lang w:val="zh-TW" w:eastAsia="zh-TW"/>
        </w:rPr>
        <w:t>在中国境内生产。</w:t>
      </w:r>
      <w:r>
        <w:rPr>
          <w:rFonts w:hint="eastAsia" w:ascii="宋体" w:hAnsi="宋体" w:eastAsia="宋体" w:cs="宋体"/>
          <w:color w:val="auto"/>
          <w:kern w:val="0"/>
          <w:sz w:val="24"/>
          <w:szCs w:val="24"/>
          <w:u w:val="single"/>
          <w:lang w:val="zh-TW" w:eastAsia="zh-TW"/>
        </w:rPr>
        <w:t xml:space="preserve"> （产品名称</w:t>
      </w:r>
      <w:r>
        <w:rPr>
          <w:rFonts w:hint="eastAsia" w:ascii="宋体" w:hAnsi="宋体" w:eastAsia="宋体" w:cs="宋体"/>
          <w:color w:val="auto"/>
          <w:kern w:val="0"/>
          <w:sz w:val="24"/>
          <w:szCs w:val="24"/>
          <w:u w:val="single"/>
          <w:lang w:val="en-US" w:eastAsia="zh-CN"/>
        </w:rPr>
        <w:t>2</w:t>
      </w:r>
      <w:r>
        <w:rPr>
          <w:rFonts w:hint="eastAsia" w:ascii="宋体" w:hAnsi="宋体" w:eastAsia="宋体" w:cs="宋体"/>
          <w:color w:val="auto"/>
          <w:kern w:val="0"/>
          <w:sz w:val="24"/>
          <w:szCs w:val="24"/>
          <w:u w:val="single"/>
          <w:lang w:val="zh-TW" w:eastAsia="zh-TW"/>
        </w:rPr>
        <w:t xml:space="preserve">） </w:t>
      </w:r>
      <w:r>
        <w:rPr>
          <w:rFonts w:hint="eastAsia" w:ascii="宋体" w:hAnsi="宋体" w:eastAsia="宋体" w:cs="宋体"/>
          <w:color w:val="auto"/>
          <w:kern w:val="0"/>
          <w:sz w:val="24"/>
          <w:szCs w:val="24"/>
          <w:lang w:val="zh-TW" w:eastAsia="zh-TW"/>
        </w:rPr>
        <w:t>的</w:t>
      </w:r>
      <w:r>
        <w:rPr>
          <w:rFonts w:hint="eastAsia" w:ascii="宋体" w:hAnsi="宋体" w:eastAsia="宋体" w:cs="宋体"/>
          <w:color w:val="auto"/>
          <w:kern w:val="0"/>
          <w:sz w:val="24"/>
          <w:szCs w:val="24"/>
          <w:u w:val="single"/>
          <w:lang w:val="zh-TW" w:eastAsia="zh-TW"/>
        </w:rPr>
        <w:t xml:space="preserve">  （关键工序） </w:t>
      </w:r>
      <w:r>
        <w:rPr>
          <w:rFonts w:hint="eastAsia" w:ascii="宋体" w:hAnsi="宋体" w:eastAsia="宋体" w:cs="宋体"/>
          <w:color w:val="auto"/>
          <w:kern w:val="0"/>
          <w:sz w:val="24"/>
          <w:szCs w:val="24"/>
          <w:lang w:val="zh-TW" w:eastAsia="zh-TW"/>
        </w:rPr>
        <w:t>在中国境内完成。</w:t>
      </w:r>
    </w:p>
    <w:p w14:paraId="301E8103">
      <w:pPr>
        <w:keepNext w:val="0"/>
        <w:keepLines w:val="0"/>
        <w:pageBreakBefore w:val="0"/>
        <w:widowControl w:val="0"/>
        <w:kinsoku/>
        <w:overflowPunct/>
        <w:topLinePunct w:val="0"/>
        <w:autoSpaceDE w:val="0"/>
        <w:autoSpaceDN w:val="0"/>
        <w:bidi w:val="0"/>
        <w:adjustRightInd w:val="0"/>
        <w:snapToGrid w:val="0"/>
        <w:spacing w:line="560" w:lineRule="exact"/>
        <w:ind w:firstLine="480" w:firstLineChars="200"/>
        <w:jc w:val="left"/>
        <w:textAlignment w:val="auto"/>
        <w:rPr>
          <w:rFonts w:hint="eastAsia" w:ascii="宋体" w:hAnsi="宋体" w:eastAsia="宋体" w:cs="宋体"/>
          <w:color w:val="auto"/>
          <w:kern w:val="0"/>
          <w:sz w:val="24"/>
          <w:szCs w:val="24"/>
          <w:lang w:val="zh-TW" w:eastAsia="zh-TW"/>
        </w:rPr>
      </w:pPr>
      <w:r>
        <w:rPr>
          <w:rFonts w:hint="eastAsia" w:ascii="宋体" w:hAnsi="宋体" w:eastAsia="宋体" w:cs="宋体"/>
          <w:color w:val="auto"/>
          <w:kern w:val="0"/>
          <w:sz w:val="24"/>
          <w:szCs w:val="24"/>
          <w:lang w:val="zh-TW" w:eastAsia="zh-TW"/>
        </w:rPr>
        <w:t>本公司（单位）对上述声明内容的真实性负责。如有虚假，愿承担相应法律责任。</w:t>
      </w:r>
    </w:p>
    <w:p w14:paraId="4DA9CA07">
      <w:pPr>
        <w:keepNext w:val="0"/>
        <w:keepLines w:val="0"/>
        <w:pageBreakBefore w:val="0"/>
        <w:widowControl w:val="0"/>
        <w:kinsoku/>
        <w:wordWrap w:val="0"/>
        <w:overflowPunct/>
        <w:topLinePunct w:val="0"/>
        <w:autoSpaceDE w:val="0"/>
        <w:autoSpaceDN w:val="0"/>
        <w:bidi w:val="0"/>
        <w:adjustRightInd w:val="0"/>
        <w:snapToGrid w:val="0"/>
        <w:spacing w:line="560" w:lineRule="exact"/>
        <w:ind w:firstLine="480" w:firstLineChars="200"/>
        <w:jc w:val="right"/>
        <w:textAlignment w:val="auto"/>
        <w:rPr>
          <w:rFonts w:hint="eastAsia" w:ascii="宋体" w:hAnsi="宋体" w:eastAsia="宋体" w:cs="宋体"/>
          <w:color w:val="auto"/>
          <w:kern w:val="0"/>
          <w:sz w:val="24"/>
          <w:szCs w:val="24"/>
          <w:u w:val="single"/>
          <w:lang w:val="en-US" w:eastAsia="zh-CN"/>
        </w:rPr>
      </w:pPr>
      <w:r>
        <w:rPr>
          <w:rFonts w:hint="eastAsia" w:ascii="宋体" w:hAnsi="宋体" w:eastAsia="宋体" w:cs="宋体"/>
          <w:color w:val="auto"/>
          <w:kern w:val="0"/>
          <w:sz w:val="24"/>
          <w:szCs w:val="24"/>
          <w:lang w:val="zh-TW" w:eastAsia="zh-TW"/>
        </w:rPr>
        <w:t>公司（单位）名称（盖章）：</w:t>
      </w:r>
      <w:r>
        <w:rPr>
          <w:rFonts w:hint="eastAsia" w:ascii="宋体" w:hAnsi="宋体" w:eastAsia="宋体" w:cs="宋体"/>
          <w:color w:val="auto"/>
          <w:kern w:val="0"/>
          <w:sz w:val="24"/>
          <w:szCs w:val="24"/>
          <w:u w:val="single"/>
          <w:lang w:val="en-US" w:eastAsia="zh-CN"/>
        </w:rPr>
        <w:t xml:space="preserve">            </w:t>
      </w:r>
    </w:p>
    <w:p w14:paraId="0885764A">
      <w:pPr>
        <w:keepNext w:val="0"/>
        <w:keepLines w:val="0"/>
        <w:pageBreakBefore w:val="0"/>
        <w:widowControl w:val="0"/>
        <w:kinsoku/>
        <w:overflowPunct/>
        <w:topLinePunct w:val="0"/>
        <w:autoSpaceDE w:val="0"/>
        <w:autoSpaceDN w:val="0"/>
        <w:bidi w:val="0"/>
        <w:adjustRightInd w:val="0"/>
        <w:snapToGrid w:val="0"/>
        <w:spacing w:line="560" w:lineRule="exact"/>
        <w:ind w:firstLine="480" w:firstLineChars="200"/>
        <w:jc w:val="right"/>
        <w:textAlignment w:val="auto"/>
        <w:rPr>
          <w:rFonts w:hint="eastAsia" w:ascii="宋体" w:hAnsi="宋体" w:eastAsia="宋体" w:cs="宋体"/>
          <w:color w:val="auto"/>
          <w:kern w:val="0"/>
          <w:sz w:val="24"/>
          <w:szCs w:val="24"/>
          <w:lang w:val="zh-TW" w:eastAsia="zh-TW"/>
        </w:rPr>
      </w:pPr>
      <w:r>
        <w:rPr>
          <w:rFonts w:hint="eastAsia" w:ascii="宋体" w:hAnsi="宋体" w:eastAsia="宋体" w:cs="宋体"/>
          <w:color w:val="auto"/>
          <w:kern w:val="0"/>
          <w:sz w:val="24"/>
          <w:szCs w:val="24"/>
          <w:lang w:val="zh-TW" w:eastAsia="zh-TW"/>
        </w:rPr>
        <w:t>日期：</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lang w:val="zh-TW" w:eastAsia="zh-TW"/>
        </w:rPr>
        <w:t>年</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lang w:val="zh-TW" w:eastAsia="zh-TW"/>
        </w:rPr>
        <w:t>月</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lang w:val="zh-TW" w:eastAsia="zh-TW"/>
        </w:rPr>
        <w:t>日</w:t>
      </w:r>
    </w:p>
    <w:p w14:paraId="7AC7A1BC">
      <w:pPr>
        <w:keepNext w:val="0"/>
        <w:keepLines w:val="0"/>
        <w:pageBreakBefore w:val="0"/>
        <w:widowControl w:val="0"/>
        <w:kinsoku/>
        <w:overflowPunct/>
        <w:topLinePunct w:val="0"/>
        <w:autoSpaceDE w:val="0"/>
        <w:autoSpaceDN w:val="0"/>
        <w:bidi w:val="0"/>
        <w:adjustRightInd w:val="0"/>
        <w:snapToGrid w:val="0"/>
        <w:spacing w:line="560" w:lineRule="exact"/>
        <w:jc w:val="left"/>
        <w:textAlignment w:val="auto"/>
        <w:rPr>
          <w:rFonts w:hint="eastAsia" w:ascii="宋体" w:hAnsi="宋体" w:eastAsia="宋体" w:cs="宋体"/>
          <w:color w:val="auto"/>
          <w:kern w:val="0"/>
          <w:sz w:val="24"/>
          <w:szCs w:val="24"/>
          <w:lang w:val="zh-TW" w:eastAsia="zh-TW"/>
        </w:rPr>
      </w:pPr>
      <w:r>
        <w:rPr>
          <w:rFonts w:hint="eastAsia" w:ascii="宋体" w:hAnsi="宋体" w:eastAsia="宋体" w:cs="宋体"/>
          <w:color w:val="auto"/>
          <w:kern w:val="0"/>
          <w:sz w:val="24"/>
          <w:szCs w:val="24"/>
          <w:lang w:val="zh-TW" w:eastAsia="zh-TW"/>
        </w:rPr>
        <w:t>1.产品如有型号，请在"产品名称"栏一并填写。</w:t>
      </w:r>
    </w:p>
    <w:p w14:paraId="3A57C6ED">
      <w:pPr>
        <w:keepNext w:val="0"/>
        <w:keepLines w:val="0"/>
        <w:pageBreakBefore w:val="0"/>
        <w:widowControl w:val="0"/>
        <w:kinsoku/>
        <w:overflowPunct/>
        <w:topLinePunct w:val="0"/>
        <w:autoSpaceDE w:val="0"/>
        <w:autoSpaceDN w:val="0"/>
        <w:bidi w:val="0"/>
        <w:adjustRightInd w:val="0"/>
        <w:snapToGrid w:val="0"/>
        <w:spacing w:line="560" w:lineRule="exact"/>
        <w:jc w:val="left"/>
        <w:textAlignment w:val="auto"/>
        <w:rPr>
          <w:rFonts w:hint="eastAsia" w:ascii="宋体" w:hAnsi="宋体" w:eastAsia="宋体" w:cs="宋体"/>
          <w:color w:val="auto"/>
          <w:kern w:val="0"/>
          <w:sz w:val="24"/>
          <w:szCs w:val="24"/>
          <w:lang w:val="zh-TW" w:eastAsia="zh-TW"/>
        </w:rPr>
      </w:pPr>
      <w:r>
        <w:rPr>
          <w:rFonts w:hint="eastAsia" w:ascii="宋体" w:hAnsi="宋体" w:eastAsia="宋体" w:cs="宋体"/>
          <w:color w:val="auto"/>
          <w:kern w:val="0"/>
          <w:sz w:val="24"/>
          <w:szCs w:val="24"/>
          <w:lang w:val="zh-TW" w:eastAsia="zh-TW"/>
        </w:rPr>
        <w:t>2.生产厂名与厂址应与生产厂营业执照载明的相关信息保持一致。</w:t>
      </w:r>
    </w:p>
    <w:p w14:paraId="1A10F914">
      <w:pPr>
        <w:keepNext w:val="0"/>
        <w:keepLines w:val="0"/>
        <w:pageBreakBefore w:val="0"/>
        <w:widowControl w:val="0"/>
        <w:kinsoku/>
        <w:overflowPunct/>
        <w:topLinePunct w:val="0"/>
        <w:autoSpaceDE w:val="0"/>
        <w:autoSpaceDN w:val="0"/>
        <w:bidi w:val="0"/>
        <w:adjustRightInd w:val="0"/>
        <w:snapToGrid w:val="0"/>
        <w:spacing w:line="560" w:lineRule="exact"/>
        <w:jc w:val="left"/>
        <w:textAlignment w:val="auto"/>
        <w:rPr>
          <w:rFonts w:hint="eastAsia" w:ascii="宋体" w:hAnsi="宋体" w:eastAsia="宋体" w:cs="宋体"/>
          <w:color w:val="auto"/>
          <w:kern w:val="0"/>
          <w:sz w:val="24"/>
          <w:szCs w:val="24"/>
          <w:lang w:val="zh-TW" w:eastAsia="zh-TW"/>
        </w:rPr>
      </w:pPr>
      <w:r>
        <w:rPr>
          <w:rFonts w:hint="eastAsia" w:ascii="宋体" w:hAnsi="宋体" w:eastAsia="宋体" w:cs="宋体"/>
          <w:color w:val="auto"/>
          <w:kern w:val="0"/>
          <w:sz w:val="24"/>
          <w:szCs w:val="24"/>
          <w:lang w:val="zh-TW" w:eastAsia="zh-TW"/>
        </w:rPr>
        <w:t>3.该产品的中国境内生产的组件成本占比相关要求实施前，"规定比例"栏可不填，下同。</w:t>
      </w:r>
    </w:p>
    <w:p w14:paraId="568BB66A">
      <w:pPr>
        <w:keepNext w:val="0"/>
        <w:keepLines w:val="0"/>
        <w:pageBreakBefore w:val="0"/>
        <w:widowControl w:val="0"/>
        <w:kinsoku/>
        <w:overflowPunct/>
        <w:topLinePunct w:val="0"/>
        <w:autoSpaceDE w:val="0"/>
        <w:autoSpaceDN w:val="0"/>
        <w:bidi w:val="0"/>
        <w:adjustRightInd w:val="0"/>
        <w:snapToGrid w:val="0"/>
        <w:spacing w:line="560" w:lineRule="exact"/>
        <w:jc w:val="left"/>
        <w:textAlignment w:val="auto"/>
        <w:rPr>
          <w:rFonts w:hint="eastAsia" w:ascii="宋体" w:hAnsi="宋体" w:eastAsia="宋体" w:cs="宋体"/>
          <w:color w:val="auto"/>
          <w:kern w:val="0"/>
          <w:sz w:val="24"/>
          <w:szCs w:val="24"/>
          <w:lang w:val="zh-TW" w:eastAsia="zh-TW"/>
        </w:rPr>
      </w:pPr>
      <w:r>
        <w:rPr>
          <w:rFonts w:hint="eastAsia" w:ascii="宋体" w:hAnsi="宋体" w:eastAsia="宋体" w:cs="宋体"/>
          <w:color w:val="auto"/>
          <w:kern w:val="0"/>
          <w:sz w:val="24"/>
          <w:szCs w:val="24"/>
          <w:lang w:val="zh-TW" w:eastAsia="zh-TW"/>
        </w:rPr>
        <w:t>4.该产品的关键组件要求实施前，"关键组件"栏可不填，下同。</w:t>
      </w:r>
    </w:p>
    <w:p w14:paraId="15534C16">
      <w:pPr>
        <w:pStyle w:val="12"/>
        <w:keepNext w:val="0"/>
        <w:keepLines w:val="0"/>
        <w:pageBreakBefore w:val="0"/>
        <w:widowControl w:val="0"/>
        <w:kinsoku/>
        <w:overflowPunct/>
        <w:topLinePunct w:val="0"/>
        <w:bidi w:val="0"/>
        <w:spacing w:line="560" w:lineRule="exact"/>
        <w:textAlignment w:val="auto"/>
        <w:rPr>
          <w:rFonts w:hint="eastAsia" w:ascii="宋体" w:hAnsi="宋体" w:eastAsia="宋体" w:cs="宋体"/>
          <w:sz w:val="24"/>
          <w:szCs w:val="24"/>
          <w:highlight w:val="none"/>
          <w:lang w:eastAsia="zh-CN"/>
        </w:rPr>
      </w:pPr>
      <w:r>
        <w:rPr>
          <w:rFonts w:hint="eastAsia" w:ascii="宋体" w:hAnsi="宋体" w:eastAsia="宋体" w:cs="宋体"/>
          <w:color w:val="auto"/>
          <w:kern w:val="0"/>
          <w:sz w:val="24"/>
          <w:szCs w:val="24"/>
          <w:lang w:val="zh-TW" w:eastAsia="zh-TW"/>
        </w:rPr>
        <w:t>5.该产品的关键工序要求实施前，"关键工序"栏可不填，下同。</w:t>
      </w:r>
    </w:p>
    <w:p w14:paraId="74625D6A">
      <w:pPr>
        <w:spacing w:before="100" w:beforeAutospacing="1" w:after="100" w:afterAutospacing="1"/>
        <w:jc w:val="left"/>
        <w:rPr>
          <w:rFonts w:hint="eastAsia" w:ascii="宋体" w:hAnsi="宋体" w:eastAsia="宋体" w:cs="宋体"/>
          <w:kern w:val="0"/>
          <w:sz w:val="30"/>
          <w:szCs w:val="30"/>
          <w:highlight w:val="none"/>
        </w:rPr>
      </w:pPr>
      <w:r>
        <w:rPr>
          <w:rFonts w:hint="eastAsia" w:ascii="宋体" w:hAnsi="宋体" w:eastAsia="宋体" w:cs="Times New Roman"/>
          <w:b/>
          <w:kern w:val="0"/>
          <w:sz w:val="24"/>
          <w:szCs w:val="24"/>
          <w:highlight w:val="none"/>
          <w:lang w:eastAsia="zh-CN"/>
        </w:rPr>
        <w:t>附件</w:t>
      </w:r>
      <w:r>
        <w:rPr>
          <w:rFonts w:hint="eastAsia" w:ascii="宋体" w:hAnsi="宋体" w:eastAsia="宋体" w:cs="Times New Roman"/>
          <w:b/>
          <w:kern w:val="0"/>
          <w:sz w:val="24"/>
          <w:szCs w:val="24"/>
          <w:highlight w:val="none"/>
          <w:lang w:val="en-US" w:eastAsia="zh-CN"/>
        </w:rPr>
        <w:t>4：</w:t>
      </w:r>
      <w:r>
        <w:rPr>
          <w:rFonts w:hint="eastAsia" w:ascii="宋体" w:hAnsi="宋体" w:eastAsia="宋体"/>
          <w:b/>
          <w:kern w:val="0"/>
          <w:sz w:val="24"/>
          <w:szCs w:val="24"/>
          <w:highlight w:val="none"/>
        </w:rPr>
        <w:t>工信部联企业[2011]300号</w:t>
      </w:r>
      <w:r>
        <w:rPr>
          <w:rFonts w:hint="eastAsia" w:ascii="宋体" w:hAnsi="宋体" w:eastAsia="宋体" w:cs="宋体"/>
          <w:kern w:val="0"/>
          <w:sz w:val="30"/>
          <w:szCs w:val="30"/>
          <w:highlight w:val="none"/>
        </w:rPr>
        <w:drawing>
          <wp:inline distT="0" distB="0" distL="114300" distR="114300">
            <wp:extent cx="5932805" cy="8388985"/>
            <wp:effectExtent l="0" t="0" r="10795" b="12065"/>
            <wp:docPr id="16" name="图片 1" descr="中小微企业划分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descr="中小微企业划分_00"/>
                    <pic:cNvPicPr>
                      <a:picLocks noChangeAspect="1"/>
                    </pic:cNvPicPr>
                  </pic:nvPicPr>
                  <pic:blipFill>
                    <a:blip r:embed="rId11"/>
                    <a:stretch>
                      <a:fillRect/>
                    </a:stretch>
                  </pic:blipFill>
                  <pic:spPr>
                    <a:xfrm>
                      <a:off x="0" y="0"/>
                      <a:ext cx="5932805" cy="8388985"/>
                    </a:xfrm>
                    <a:prstGeom prst="rect">
                      <a:avLst/>
                    </a:prstGeom>
                    <a:noFill/>
                    <a:ln>
                      <a:noFill/>
                    </a:ln>
                  </pic:spPr>
                </pic:pic>
              </a:graphicData>
            </a:graphic>
          </wp:inline>
        </w:drawing>
      </w:r>
    </w:p>
    <w:p w14:paraId="7EEF3785">
      <w:pPr>
        <w:rPr>
          <w:rFonts w:hint="eastAsia" w:ascii="宋体" w:hAnsi="宋体" w:eastAsia="宋体" w:cs="宋体"/>
          <w:sz w:val="30"/>
          <w:szCs w:val="30"/>
          <w:highlight w:val="none"/>
        </w:rPr>
      </w:pPr>
      <w:r>
        <w:rPr>
          <w:rFonts w:hint="eastAsia" w:ascii="宋体" w:hAnsi="宋体" w:eastAsia="宋体" w:cs="宋体"/>
          <w:sz w:val="30"/>
          <w:szCs w:val="30"/>
          <w:highlight w:val="none"/>
        </w:rPr>
        <w:drawing>
          <wp:inline distT="0" distB="0" distL="114300" distR="114300">
            <wp:extent cx="5932805" cy="8388985"/>
            <wp:effectExtent l="0" t="0" r="10795" b="12065"/>
            <wp:docPr id="15" name="图片 2" descr="中小微企业划分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descr="中小微企业划分_01"/>
                    <pic:cNvPicPr>
                      <a:picLocks noChangeAspect="1"/>
                    </pic:cNvPicPr>
                  </pic:nvPicPr>
                  <pic:blipFill>
                    <a:blip r:embed="rId12"/>
                    <a:stretch>
                      <a:fillRect/>
                    </a:stretch>
                  </pic:blipFill>
                  <pic:spPr>
                    <a:xfrm>
                      <a:off x="0" y="0"/>
                      <a:ext cx="5932805" cy="8388985"/>
                    </a:xfrm>
                    <a:prstGeom prst="rect">
                      <a:avLst/>
                    </a:prstGeom>
                    <a:noFill/>
                    <a:ln>
                      <a:noFill/>
                    </a:ln>
                  </pic:spPr>
                </pic:pic>
              </a:graphicData>
            </a:graphic>
          </wp:inline>
        </w:drawing>
      </w:r>
    </w:p>
    <w:p w14:paraId="43638E88">
      <w:pPr>
        <w:autoSpaceDE w:val="0"/>
        <w:autoSpaceDN w:val="0"/>
        <w:adjustRightInd w:val="0"/>
        <w:rPr>
          <w:rFonts w:hint="eastAsia" w:ascii="宋体" w:hAnsi="宋体" w:eastAsia="宋体" w:cs="宋体"/>
          <w:color w:val="000000"/>
          <w:sz w:val="24"/>
          <w:highlight w:val="none"/>
        </w:rPr>
      </w:pPr>
      <w:r>
        <w:rPr>
          <w:rFonts w:hint="eastAsia" w:ascii="宋体" w:hAnsi="宋体" w:eastAsia="宋体" w:cs="宋体"/>
          <w:color w:val="000000"/>
          <w:sz w:val="24"/>
          <w:highlight w:val="none"/>
        </w:rPr>
        <w:drawing>
          <wp:inline distT="0" distB="0" distL="114300" distR="114300">
            <wp:extent cx="5932805" cy="8388985"/>
            <wp:effectExtent l="0" t="0" r="10795" b="12065"/>
            <wp:docPr id="14" name="图片 3" descr="中小微企业划分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descr="中小微企业划分_02"/>
                    <pic:cNvPicPr>
                      <a:picLocks noChangeAspect="1"/>
                    </pic:cNvPicPr>
                  </pic:nvPicPr>
                  <pic:blipFill>
                    <a:blip r:embed="rId13"/>
                    <a:stretch>
                      <a:fillRect/>
                    </a:stretch>
                  </pic:blipFill>
                  <pic:spPr>
                    <a:xfrm>
                      <a:off x="0" y="0"/>
                      <a:ext cx="5932805" cy="8388985"/>
                    </a:xfrm>
                    <a:prstGeom prst="rect">
                      <a:avLst/>
                    </a:prstGeom>
                    <a:noFill/>
                    <a:ln>
                      <a:noFill/>
                    </a:ln>
                  </pic:spPr>
                </pic:pic>
              </a:graphicData>
            </a:graphic>
          </wp:inline>
        </w:drawing>
      </w:r>
    </w:p>
    <w:p w14:paraId="5EF2FC28">
      <w:pPr>
        <w:pStyle w:val="10"/>
        <w:ind w:left="1260"/>
        <w:rPr>
          <w:rFonts w:hint="eastAsia" w:ascii="宋体" w:hAnsi="宋体" w:eastAsia="宋体"/>
          <w:highlight w:val="none"/>
        </w:rPr>
      </w:pPr>
    </w:p>
    <w:p w14:paraId="19E6A3AB">
      <w:pPr>
        <w:rPr>
          <w:rFonts w:hint="eastAsia" w:ascii="宋体" w:hAnsi="宋体" w:eastAsia="宋体"/>
          <w:highlight w:val="none"/>
        </w:rPr>
      </w:pPr>
      <w:r>
        <w:rPr>
          <w:rFonts w:hint="eastAsia" w:ascii="宋体" w:hAnsi="宋体" w:eastAsia="宋体"/>
          <w:highlight w:val="none"/>
        </w:rPr>
        <w:drawing>
          <wp:inline distT="0" distB="0" distL="114300" distR="114300">
            <wp:extent cx="5932805" cy="8388985"/>
            <wp:effectExtent l="0" t="0" r="10795" b="12065"/>
            <wp:docPr id="13" name="图片 4" descr="中小微企业划分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descr="中小微企业划分_03"/>
                    <pic:cNvPicPr>
                      <a:picLocks noChangeAspect="1"/>
                    </pic:cNvPicPr>
                  </pic:nvPicPr>
                  <pic:blipFill>
                    <a:blip r:embed="rId14"/>
                    <a:stretch>
                      <a:fillRect/>
                    </a:stretch>
                  </pic:blipFill>
                  <pic:spPr>
                    <a:xfrm>
                      <a:off x="0" y="0"/>
                      <a:ext cx="5932805" cy="8388985"/>
                    </a:xfrm>
                    <a:prstGeom prst="rect">
                      <a:avLst/>
                    </a:prstGeom>
                    <a:noFill/>
                    <a:ln>
                      <a:noFill/>
                    </a:ln>
                  </pic:spPr>
                </pic:pic>
              </a:graphicData>
            </a:graphic>
          </wp:inline>
        </w:drawing>
      </w:r>
    </w:p>
    <w:p w14:paraId="4DEF1300">
      <w:pPr>
        <w:spacing w:line="440" w:lineRule="exact"/>
        <w:ind w:firstLine="560" w:firstLineChars="200"/>
        <w:jc w:val="center"/>
        <w:rPr>
          <w:rFonts w:hint="eastAsia"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全流程电子化交易注意事项</w:t>
      </w:r>
    </w:p>
    <w:p w14:paraId="53A6056D">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电子化交易项目投标文件是投标人、供应商（以下简称“投标人”）通过中心投标文件制作系统制作，并经过签章和加密后生成的电子版投标文件。（电子化投标文件具体制作教材请投标人通过CA证书登录公共资源电子化交易系统在右上角“组件下载”中查看）制作电子化投标文件，需仔细阅读以下条款。</w:t>
      </w:r>
    </w:p>
    <w:p w14:paraId="4439405B">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一、电子化投标</w:t>
      </w:r>
    </w:p>
    <w:p w14:paraId="054E1D29">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（一）网上投标保证金的缴纳</w:t>
      </w:r>
    </w:p>
    <w:p w14:paraId="0328CCFE">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1、递交形式: 投标人的投标保证金必须通过投标人基本账户以转账或电汇的形式缴纳（账户必须是已加入平顶山市公共资源交易投标人或供应商诚信库中的账户）。</w:t>
      </w:r>
    </w:p>
    <w:p w14:paraId="50228CBA">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投标人缴纳投标保证金后，应在规定的缴纳截止时间前通过平顶山市公共资源电子化交易系统将保证金成功绑定至所投标项目和标段。保证金绑定操作手册，请登录平顶山市公共资源交易中心网站在办事指南中网上投标栏目查看。</w:t>
      </w:r>
    </w:p>
    <w:p w14:paraId="657A8741">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3、投标人在成功绑定后，可以将系统生成的回执单图片制作在投标文件中，作为缴纳保证金的依据。</w:t>
      </w:r>
    </w:p>
    <w:p w14:paraId="0993B9A1">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4、投标人应仔细阅读操作手册并充分考虑异地跨行转账到账时间等因素，因投标人操作不当或银行到账时间等问题造成保证金无法正常绑定影响投标的，由投标人自行承担后果。</w:t>
      </w:r>
    </w:p>
    <w:p w14:paraId="6DCA8FE3">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5、未中标投标人的投标保证金在项目结束后，由中介服务机构向中心项目负责人提出退款申请，项目负责人同意并经财务部门核对后，通过中心交易平台退还给投标人。</w:t>
      </w:r>
    </w:p>
    <w:p w14:paraId="71D07578">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（二）电子化投标文件的签章</w:t>
      </w:r>
    </w:p>
    <w:p w14:paraId="3D82C916">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1、投标人在生成电子化投标文件后，应对电子化投标文件进行签章，未进行签章的视为无效投标。</w:t>
      </w:r>
    </w:p>
    <w:p w14:paraId="712DE2F2">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招标文件中要求法定代表人或授权委托人签字或盖章的，投标人在进行电子化投标文件签章时，以签盖法定代表人签章为准。电子化投标文件具体制作教材请投标人通过CA证书登录平顶山市公共资源电子化交易系统在右上角“组建下载”中查看。</w:t>
      </w:r>
    </w:p>
    <w:p w14:paraId="57C71C54">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（三）电子化投标文件的格式及上传投标</w:t>
      </w:r>
    </w:p>
    <w:p w14:paraId="441B1BFB">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1、投标人所上传的电子化投标文件，应是通过中心投标文件制作系统制作的，经过签章和加密后生成的电子版投标文件。生成的电子版投标文件包含用于投标文件上传的主文件（项目文件格式为：xxx公司_ 项目名称.file）和用于应急补救的投标文件备份文件（项目文件格式为：xxx公司_ 项目名称.bin），备份文件主要用于电子化开标出现技术问题后的补救，请投标人随身携带。</w:t>
      </w:r>
    </w:p>
    <w:p w14:paraId="32D82007">
      <w:pPr>
        <w:spacing w:line="420" w:lineRule="exact"/>
        <w:ind w:firstLine="480" w:firstLineChars="200"/>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注：（1）投标人投报多个标段的，根据标段制作各个标段的投标文件后上传</w:t>
      </w:r>
    </w:p>
    <w:p w14:paraId="1DAA34D8">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2、电子化投标文件应在投标截止时间前成功上传至平顶山市公共资源电子化交易系统。至投标截止时间止，仍未上传成功的电子化投标文件将不予接收。</w:t>
      </w:r>
    </w:p>
    <w:p w14:paraId="755CDB7A">
      <w:pPr>
        <w:spacing w:line="420" w:lineRule="exact"/>
        <w:ind w:firstLine="480" w:firstLineChars="200"/>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14:paraId="5B42B32B">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（四）电子化项目开标、解密、唱标、评标</w:t>
      </w:r>
    </w:p>
    <w:p w14:paraId="2902F278">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1、电子化投标文件采用双重加密方式。开标时，首先由投标人使用CA证书，在规定时间内对其电子化投标文件进行首次解密，投标人解密完成后，再由中介服务机构使用CA证书对投标文件进行再次解密。</w:t>
      </w:r>
    </w:p>
    <w:p w14:paraId="15AF86A4">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2、电子化投标文件解密异常的处理</w:t>
      </w:r>
    </w:p>
    <w:p w14:paraId="471A1DC0">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如出现投标人的电子投标文件无法解密的情况，投标人应及时联系中介服务机构说明。投标文件解密异常，按以下步骤进行处理：</w:t>
      </w:r>
    </w:p>
    <w:p w14:paraId="6038A7B5">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（1）首先由技术人员进行问题排查。</w:t>
      </w:r>
    </w:p>
    <w:p w14:paraId="3CACA1E4">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（2）经技术人员排查后，是投标人文件自身问题导致投标文件无法解密的，该投标文件将不予接收、解密和唱标，开标会议继续进行。</w:t>
      </w:r>
    </w:p>
    <w:p w14:paraId="6FEA023D">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22F2F0A5">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3、待所有投标人投标文件解密完成后，由中介服务机构操作，对所有已解密投标文件进行唱标。</w:t>
      </w:r>
    </w:p>
    <w:p w14:paraId="3B4E4E67">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评标时，评标委员会对电子化投标文件有质疑的，将通过电子化交易系统对投标人发起质疑。质疑回复内容确认后，投标人的回复文件必须以经过投标人和其法定代表人签章的PDF格式文件为准，并通过电子化交易系统提交至评标委员会。</w:t>
      </w:r>
    </w:p>
    <w:p w14:paraId="4D506ACC">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5、如评标委员会对需要回复的投标人回复内容有异议的，经过几次回复仍不清楚的，需在监督下进行免提电话进行质疑。</w:t>
      </w:r>
    </w:p>
    <w:p w14:paraId="555D432D">
      <w:pPr>
        <w:spacing w:line="42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6、评标时如因系统异常、停电、电脑病毒、网络堵塞等原因无法正常进行的，由技术人员排查解决，短时间无法解决的，经监督部门同意后，暂停评标活动，待问题解决后继续评标。</w:t>
      </w:r>
    </w:p>
    <w:sectPr>
      <w:headerReference r:id="rId6" w:type="default"/>
      <w:footerReference r:id="rId7" w:type="default"/>
      <w:pgSz w:w="11906" w:h="16838"/>
      <w:pgMar w:top="1440" w:right="1440" w:bottom="1440" w:left="1440" w:header="851" w:footer="992" w:gutter="0"/>
      <w:pgBorders>
        <w:top w:val="none" w:sz="0" w:space="0"/>
        <w:left w:val="none" w:sz="0" w:space="0"/>
        <w:bottom w:val="none" w:sz="0" w:space="0"/>
        <w:right w:val="none" w:sz="0" w:space="0"/>
      </w:pgBorders>
      <w:pgNumType w:fmt="decimal" w:start="2"/>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onsolas">
    <w:panose1 w:val="020B0609020204030204"/>
    <w:charset w:val="00"/>
    <w:family w:val="modern"/>
    <w:pitch w:val="default"/>
    <w:sig w:usb0="E10002FF" w:usb1="4000FCFF" w:usb2="00000009" w:usb3="00000000" w:csb0="6000019F" w:csb1="DFD70000"/>
  </w:font>
  <w:font w:name="Tahoma">
    <w:panose1 w:val="020B0604030504040204"/>
    <w:charset w:val="00"/>
    <w:family w:val="swiss"/>
    <w:pitch w:val="default"/>
    <w:sig w:usb0="E1002EFF" w:usb1="C000605B" w:usb2="00000029" w:usb3="00000000" w:csb0="200101FF" w:csb1="2028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华文楷体">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FC707">
    <w:pPr>
      <w:pStyle w:val="58"/>
      <w:tabs>
        <w:tab w:val="clear" w:pos="4153"/>
        <w:tab w:val="clear" w:pos="8306"/>
      </w:tabs>
      <w:ind w:right="360" w:firstLine="90" w:firstLineChars="50"/>
    </w:pPr>
    <w:r>
      <mc:AlternateContent>
        <mc:Choice Requires="wps">
          <w:drawing>
            <wp:anchor distT="0" distB="0" distL="0" distR="0" simplePos="0" relativeHeight="251660288" behindDoc="0" locked="0" layoutInCell="1" allowOverlap="1">
              <wp:simplePos x="0" y="0"/>
              <wp:positionH relativeFrom="column">
                <wp:posOffset>0</wp:posOffset>
              </wp:positionH>
              <wp:positionV relativeFrom="paragraph">
                <wp:posOffset>0</wp:posOffset>
              </wp:positionV>
              <wp:extent cx="5628640" cy="10795"/>
              <wp:effectExtent l="0" t="4445" r="10160" b="13335"/>
              <wp:wrapNone/>
              <wp:docPr id="6" name="_x0000_s2051"/>
              <wp:cNvGraphicFramePr/>
              <a:graphic xmlns:a="http://schemas.openxmlformats.org/drawingml/2006/main">
                <a:graphicData uri="http://schemas.microsoft.com/office/word/2010/wordprocessingShape">
                  <wps:wsp>
                    <wps:cNvCnPr/>
                    <wps:spPr>
                      <a:xfrm>
                        <a:off x="20320" y="113665"/>
                        <a:ext cx="5628640" cy="10795"/>
                      </a:xfrm>
                      <a:prstGeom prst="line">
                        <a:avLst/>
                      </a:prstGeom>
                      <a:ln w="3175">
                        <a:solidFill>
                          <a:prstClr val="white"/>
                        </a:solidFill>
                      </a:ln>
                    </wps:spPr>
                    <wps:bodyPr/>
                  </wps:wsp>
                </a:graphicData>
              </a:graphic>
            </wp:anchor>
          </w:drawing>
        </mc:Choice>
        <mc:Fallback>
          <w:pict>
            <v:line id="_x0000_s2051" o:spid="_x0000_s1026" o:spt="20" style="position:absolute;left:0pt;margin-left:0pt;margin-top:0pt;height:0.85pt;width:443.2pt;z-index:251660288;mso-width-relative:page;mso-height-relative:page;" filled="f" stroked="t" coordsize="21600,21600" o:gfxdata="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8h163UAAAA&#10;AwEAAA8AAAAAAAAAAQAgAAAAIgAAAGRycy9kb3ducmV2LnhtbFBLAQIUABQAAAAIAIdO4kA+GnjU&#10;rwEAAFwDAAAOAAAAAAAAAAEAIAAAACMBAABkcnMvZTJvRG9jLnhtbFBLBQYAAAAABgAGAFkBAABE&#10;BQAAAAA=&#10;">
              <v:fill on="f" focussize="0,0"/>
              <v:stroke weight="0.25pt" color="#FFFFFF" joinstyle="round"/>
              <v:imagedata o:title=""/>
              <o:lock v:ext="edit" aspectratio="f"/>
            </v:line>
          </w:pict>
        </mc:Fallback>
      </mc:AlternateContent>
    </w:r>
  </w:p>
  <w:p w14:paraId="63D517C0">
    <w:pPr>
      <w:pStyle w:val="58"/>
      <w:tabs>
        <w:tab w:val="clear" w:pos="4153"/>
        <w:tab w:val="clear" w:pos="8306"/>
      </w:tabs>
      <w:ind w:right="360" w:firstLine="90" w:firstLineChars="50"/>
      <w:rPr>
        <w:rFonts w:hint="eastAsia" w:ascii="宋体" w:hAnsi="宋体"/>
      </w:rPr>
    </w:pPr>
    <w:r>
      <w:rPr>
        <w:rFonts w:hint="eastAsia" w:ascii="宋体" w:hAnsi="宋体"/>
        <w:color w:val="000000"/>
        <w:shd w:val="clear" w:color="auto" w:fill="FFFFFF"/>
      </w:rPr>
      <w:t>河南荣之鑫工程管理有限公司</w:t>
    </w:r>
    <w:r>
      <w:rPr>
        <w:rFonts w:hint="eastAsia" w:ascii="宋体" w:hAnsi="宋体"/>
      </w:rPr>
      <w:tab/>
    </w:r>
  </w:p>
  <w:p w14:paraId="28862031">
    <w:pPr>
      <w:pStyle w:val="58"/>
      <w:tabs>
        <w:tab w:val="clear" w:pos="4153"/>
        <w:tab w:val="clear" w:pos="8306"/>
      </w:tabs>
      <w:ind w:right="360" w:firstLine="90" w:firstLineChars="50"/>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0F9E9">
    <w:pPr>
      <w:pStyle w:val="58"/>
      <w:tabs>
        <w:tab w:val="clear" w:pos="4153"/>
        <w:tab w:val="clear" w:pos="8306"/>
      </w:tabs>
      <w:ind w:right="360" w:firstLine="90" w:firstLineChars="50"/>
    </w:pPr>
    <w:r>
      <mc:AlternateContent>
        <mc:Choice Requires="wps">
          <w:drawing>
            <wp:anchor distT="0" distB="0" distL="114300" distR="114300" simplePos="0" relativeHeight="251664384" behindDoc="0" locked="0" layoutInCell="1" allowOverlap="1">
              <wp:simplePos x="0" y="0"/>
              <wp:positionH relativeFrom="column">
                <wp:posOffset>27305</wp:posOffset>
              </wp:positionH>
              <wp:positionV relativeFrom="paragraph">
                <wp:posOffset>99060</wp:posOffset>
              </wp:positionV>
              <wp:extent cx="5715000" cy="10160"/>
              <wp:effectExtent l="36830" t="34925" r="29845" b="31115"/>
              <wp:wrapNone/>
              <wp:docPr id="7" name="Line 1026"/>
              <wp:cNvGraphicFramePr/>
              <a:graphic xmlns:a="http://schemas.openxmlformats.org/drawingml/2006/main">
                <a:graphicData uri="http://schemas.microsoft.com/office/word/2010/wordprocessingShape">
                  <wps:wsp>
                    <wps:cNvCnPr>
                      <a:cxnSpLocks noChangeShapeType="1"/>
                    </wps:cNvCnPr>
                    <wps:spPr bwMode="auto">
                      <a:xfrm>
                        <a:off x="0" y="0"/>
                        <a:ext cx="5715000" cy="10160"/>
                      </a:xfrm>
                      <a:prstGeom prst="line">
                        <a:avLst/>
                      </a:prstGeom>
                      <a:noFill/>
                      <a:ln w="57150" cmpd="thinThick">
                        <a:solidFill>
                          <a:srgbClr val="000000"/>
                        </a:solidFill>
                        <a:round/>
                      </a:ln>
                    </wps:spPr>
                    <wps:bodyPr/>
                  </wps:wsp>
                </a:graphicData>
              </a:graphic>
            </wp:anchor>
          </w:drawing>
        </mc:Choice>
        <mc:Fallback>
          <w:pict>
            <v:line id="Line 1026" o:spid="_x0000_s1026" o:spt="20" style="position:absolute;left:0pt;margin-left:2.15pt;margin-top:7.8pt;height:0.8pt;width:450pt;z-index:251664384;mso-width-relative:page;mso-height-relative:page;" filled="f" stroked="t" coordsize="21600,21600" o:gfxdata="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JB7EW1gAAAAcBAAAPAAAAAAAAAAEA&#10;IAAAACIAAABkcnMvZG93bnJldi54bWxQSwECFAAUAAAACACHTuJAzxdjrNgBAAC4AwAADgAAAAAA&#10;AAABACAAAAAlAQAAZHJzL2Uyb0RvYy54bWxQSwUGAAAAAAYABgBZAQAAbwUAAAAA&#10;">
              <v:fill on="f" focussize="0,0"/>
              <v:stroke weight="4.5pt" color="#000000" linestyle="thinThick" joinstyle="round"/>
              <v:imagedata o:title=""/>
              <o:lock v:ext="edit" aspectratio="f"/>
            </v:lin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628640" cy="10795"/>
              <wp:effectExtent l="0" t="0" r="10160" b="8255"/>
              <wp:wrapNone/>
              <wp:docPr id="11" name="_x0000_s2051"/>
              <wp:cNvGraphicFramePr/>
              <a:graphic xmlns:a="http://schemas.openxmlformats.org/drawingml/2006/main">
                <a:graphicData uri="http://schemas.microsoft.com/office/word/2010/wordprocessingShape">
                  <wps:wsp>
                    <wps:cNvCnPr/>
                    <wps:spPr>
                      <a:xfrm>
                        <a:off x="0" y="0"/>
                        <a:ext cx="5628640" cy="10795"/>
                      </a:xfrm>
                      <a:prstGeom prst="line">
                        <a:avLst/>
                      </a:prstGeom>
                      <a:ln w="3175">
                        <a:solidFill>
                          <a:prstClr val="white"/>
                        </a:solidFill>
                      </a:ln>
                    </wps:spPr>
                    <wps:bodyPr/>
                  </wps:wsp>
                </a:graphicData>
              </a:graphic>
            </wp:anchor>
          </w:drawing>
        </mc:Choice>
        <mc:Fallback>
          <w:pict>
            <v:line id="_x0000_s2051" o:spid="_x0000_s1026" o:spt="20" style="position:absolute;left:0pt;margin-left:0pt;margin-top:0pt;height:0.85pt;width:443.2pt;z-index:251662336;mso-width-relative:page;mso-height-relative:page;" filled="f" stroked="t" coordsize="21600,21600" o:gfxdata="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LyHXrdQAAAADAQAADwAAAAAA&#10;AAABACAAAAAiAAAAZHJzL2Rvd25yZXYueG1sUEsBAhQAFAAAAAgAh07iQPQbWVGlAQAAVAMAAA4A&#10;AAAAAAAAAQAgAAAAIwEAAGRycy9lMm9Eb2MueG1sUEsFBgAAAAAGAAYAWQEAADoFAAAAAA==&#10;">
              <v:fill on="f" focussize="0,0"/>
              <v:stroke weight="0.25pt" color="#FFFFFF" joinstyle="round"/>
              <v:imagedata o:title=""/>
              <o:lock v:ext="edit" aspectratio="f"/>
            </v:line>
          </w:pict>
        </mc:Fallback>
      </mc:AlternateContent>
    </w:r>
  </w:p>
  <w:p w14:paraId="5A289421">
    <w:pPr>
      <w:pStyle w:val="58"/>
      <w:tabs>
        <w:tab w:val="clear" w:pos="4153"/>
        <w:tab w:val="clear" w:pos="8306"/>
      </w:tabs>
      <w:ind w:right="360" w:firstLine="90" w:firstLineChars="50"/>
      <w:rPr>
        <w:rFonts w:hint="eastAsia" w:ascii="宋体" w:hAnsi="宋体"/>
      </w:rPr>
    </w:pPr>
    <w:r>
      <mc:AlternateContent>
        <mc:Choice Requires="wps">
          <w:drawing>
            <wp:anchor distT="0" distB="0" distL="114300" distR="114300" simplePos="0" relativeHeight="251661312" behindDoc="0" locked="0" layoutInCell="1" allowOverlap="1">
              <wp:simplePos x="0" y="0"/>
              <wp:positionH relativeFrom="margin">
                <wp:posOffset>5585460</wp:posOffset>
              </wp:positionH>
              <wp:positionV relativeFrom="paragraph">
                <wp:posOffset>94615</wp:posOffset>
              </wp:positionV>
              <wp:extent cx="57785" cy="131445"/>
              <wp:effectExtent l="3810" t="0" r="0" b="1905"/>
              <wp:wrapNone/>
              <wp:docPr id="1" name="Text Box 1028"/>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1A509F12">
                          <w:pPr>
                            <w:pStyle w:val="14"/>
                          </w:pPr>
                          <w:r>
                            <w:fldChar w:fldCharType="begin"/>
                          </w:r>
                          <w:r>
                            <w:instrText xml:space="preserve"> PAGE  \* MERGEFORMAT </w:instrText>
                          </w:r>
                          <w:r>
                            <w:fldChar w:fldCharType="separate"/>
                          </w:r>
                          <w:r>
                            <w:t>9</w:t>
                          </w:r>
                          <w:r>
                            <w:fldChar w:fldCharType="end"/>
                          </w:r>
                        </w:p>
                      </w:txbxContent>
                    </wps:txbx>
                    <wps:bodyPr rot="0" vert="horz" wrap="none" lIns="0" tIns="0" rIns="0" bIns="0" anchor="t" anchorCtr="0" upright="1">
                      <a:spAutoFit/>
                    </wps:bodyPr>
                  </wps:wsp>
                </a:graphicData>
              </a:graphic>
            </wp:anchor>
          </w:drawing>
        </mc:Choice>
        <mc:Fallback>
          <w:pict>
            <v:shape id="Text Box 1028" o:spid="_x0000_s1026" o:spt="202" type="#_x0000_t202" style="position:absolute;left:0pt;margin-left:439.8pt;margin-top:7.45pt;height:10.35pt;width:4.55pt;mso-position-horizontal-relative:margin;mso-wrap-style:none;z-index:251661312;mso-width-relative:page;mso-height-relative:page;" filled="f" stroked="f" coordsize="21600,21600" o:gfxdata="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2q3aY1gAAAAkBAAAPAAAAAAAAAAEAIAAAACIAAABkcnMvZG93bnJldi54&#10;bWxQSwECFAAUAAAACACHTuJAQ25IZ/wBAAADBAAADgAAAAAAAAABACAAAAAlAQAAZHJzL2Uyb0Rv&#10;Yy54bWxQSwUGAAAAAAYABgBZAQAAkwUAAAAA&#10;">
              <v:fill on="f" focussize="0,0"/>
              <v:stroke on="f"/>
              <v:imagedata o:title=""/>
              <o:lock v:ext="edit" aspectratio="f"/>
              <v:textbox inset="0mm,0mm,0mm,0mm" style="mso-fit-shape-to-text:t;">
                <w:txbxContent>
                  <w:p w14:paraId="1A509F12">
                    <w:pPr>
                      <w:pStyle w:val="14"/>
                    </w:pPr>
                    <w:r>
                      <w:fldChar w:fldCharType="begin"/>
                    </w:r>
                    <w:r>
                      <w:instrText xml:space="preserve"> PAGE  \* MERGEFORMAT </w:instrText>
                    </w:r>
                    <w:r>
                      <w:fldChar w:fldCharType="separate"/>
                    </w:r>
                    <w:r>
                      <w:t>9</w:t>
                    </w:r>
                    <w:r>
                      <w:fldChar w:fldCharType="end"/>
                    </w:r>
                  </w:p>
                </w:txbxContent>
              </v:textbox>
            </v:shape>
          </w:pict>
        </mc:Fallback>
      </mc:AlternateContent>
    </w:r>
    <w:r>
      <w:rPr>
        <w:rFonts w:hint="eastAsia" w:ascii="宋体" w:hAnsi="宋体"/>
        <w:color w:val="000000"/>
        <w:shd w:val="clear" w:color="auto" w:fill="FFFFFF"/>
      </w:rPr>
      <w:t>河南荣之鑫工程管理有限公司</w:t>
    </w:r>
    <w:r>
      <w:rPr>
        <w:rFonts w:hint="eastAsia" w:ascii="宋体" w:hAnsi="宋体"/>
      </w:rPr>
      <w:tab/>
    </w:r>
  </w:p>
  <w:p w14:paraId="086D4F86">
    <w:pPr>
      <w:pStyle w:val="58"/>
      <w:tabs>
        <w:tab w:val="left" w:pos="5352"/>
        <w:tab w:val="clear" w:pos="4153"/>
        <w:tab w:val="clear" w:pos="8306"/>
      </w:tabs>
      <w:ind w:right="360" w:firstLine="90" w:firstLineChars="50"/>
    </w:pPr>
    <w:r>
      <w:tab/>
    </w: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43EB8">
    <w:pPr>
      <w:pStyle w:val="58"/>
      <w:tabs>
        <w:tab w:val="clear" w:pos="4153"/>
        <w:tab w:val="clear" w:pos="8306"/>
      </w:tabs>
      <w:ind w:right="360" w:firstLine="90" w:firstLineChars="50"/>
    </w:pPr>
    <w:r>
      <mc:AlternateContent>
        <mc:Choice Requires="wps">
          <w:drawing>
            <wp:anchor distT="0" distB="0" distL="114300" distR="114300" simplePos="0" relativeHeight="251670528" behindDoc="0" locked="0" layoutInCell="1" allowOverlap="1">
              <wp:simplePos x="0" y="0"/>
              <wp:positionH relativeFrom="column">
                <wp:posOffset>39370</wp:posOffset>
              </wp:positionH>
              <wp:positionV relativeFrom="paragraph">
                <wp:posOffset>36195</wp:posOffset>
              </wp:positionV>
              <wp:extent cx="5705475" cy="0"/>
              <wp:effectExtent l="0" t="28575" r="9525" b="28575"/>
              <wp:wrapNone/>
              <wp:docPr id="25" name="Line 1026"/>
              <wp:cNvGraphicFramePr/>
              <a:graphic xmlns:a="http://schemas.openxmlformats.org/drawingml/2006/main">
                <a:graphicData uri="http://schemas.microsoft.com/office/word/2010/wordprocessingShape">
                  <wps:wsp>
                    <wps:cNvCnPr>
                      <a:cxnSpLocks noChangeShapeType="1"/>
                    </wps:cNvCnPr>
                    <wps:spPr bwMode="auto">
                      <a:xfrm>
                        <a:off x="0" y="0"/>
                        <a:ext cx="5705475" cy="0"/>
                      </a:xfrm>
                      <a:prstGeom prst="line">
                        <a:avLst/>
                      </a:prstGeom>
                      <a:noFill/>
                      <a:ln w="57150" cmpd="thinThick">
                        <a:solidFill>
                          <a:srgbClr val="000000"/>
                        </a:solidFill>
                        <a:round/>
                      </a:ln>
                    </wps:spPr>
                    <wps:bodyPr/>
                  </wps:wsp>
                </a:graphicData>
              </a:graphic>
            </wp:anchor>
          </w:drawing>
        </mc:Choice>
        <mc:Fallback>
          <w:pict>
            <v:line id="Line 1026" o:spid="_x0000_s1026" o:spt="20" style="position:absolute;left:0pt;margin-left:3.1pt;margin-top:2.85pt;height:0pt;width:449.25pt;z-index:251670528;mso-width-relative:page;mso-height-relative:page;" filled="f" stroked="t" coordsize="21600,21600" o:gfxdata="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FaUZm9UAAAAFAQAADwAAAAAAAAABACAA&#10;AAAiAAAAZHJzL2Rvd25yZXYueG1sUEsBAhQAFAAAAAgAh07iQNJIw97XAQAAtQMAAA4AAAAAAAAA&#10;AQAgAAAAJAEAAGRycy9lMm9Eb2MueG1sUEsFBgAAAAAGAAYAWQEAAG0FAAAAAA==&#10;">
              <v:fill on="f" focussize="0,0"/>
              <v:stroke weight="4.5pt" color="#000000" linestyle="thinThick" joinstyle="round"/>
              <v:imagedata o:title=""/>
              <o:lock v:ext="edit" aspectratio="f"/>
            </v:lin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5628640" cy="10795"/>
              <wp:effectExtent l="0" t="4445" r="10160" b="13335"/>
              <wp:wrapNone/>
              <wp:docPr id="26" name="_x0000_s2051"/>
              <wp:cNvGraphicFramePr/>
              <a:graphic xmlns:a="http://schemas.openxmlformats.org/drawingml/2006/main">
                <a:graphicData uri="http://schemas.microsoft.com/office/word/2010/wordprocessingShape">
                  <wps:wsp>
                    <wps:cNvCnPr/>
                    <wps:spPr>
                      <a:xfrm>
                        <a:off x="0" y="0"/>
                        <a:ext cx="5628640" cy="10795"/>
                      </a:xfrm>
                      <a:prstGeom prst="line">
                        <a:avLst/>
                      </a:prstGeom>
                      <a:ln w="3175">
                        <a:solidFill>
                          <a:prstClr val="white"/>
                        </a:solidFill>
                      </a:ln>
                    </wps:spPr>
                    <wps:bodyPr/>
                  </wps:wsp>
                </a:graphicData>
              </a:graphic>
            </wp:anchor>
          </w:drawing>
        </mc:Choice>
        <mc:Fallback>
          <w:pict>
            <v:line id="_x0000_s2051" o:spid="_x0000_s1026" o:spt="20" style="position:absolute;left:0pt;margin-left:0pt;margin-top:0pt;height:0.85pt;width:443.2pt;z-index:251667456;mso-width-relative:page;mso-height-relative:page;" filled="f" stroked="t" coordsize="21600,21600" o:gfxdata="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LyHXrdQAAAADAQAADwAAAAAA&#10;AAABACAAAAAiAAAAZHJzL2Rvd25yZXYueG1sUEsBAhQAFAAAAAgAh07iQPVzTDylAQAAVAMAAA4A&#10;AAAAAAAAAQAgAAAAIwEAAGRycy9lMm9Eb2MueG1sUEsFBgAAAAAGAAYAWQEAADoFAAAAAA==&#10;">
              <v:fill on="f" focussize="0,0"/>
              <v:stroke weight="0.25pt" color="#FFFFFF" joinstyle="round"/>
              <v:imagedata o:title=""/>
              <o:lock v:ext="edit" aspectratio="f"/>
            </v:line>
          </w:pict>
        </mc:Fallback>
      </mc:AlternateContent>
    </w:r>
  </w:p>
  <w:p w14:paraId="3CE82915">
    <w:pPr>
      <w:pStyle w:val="58"/>
      <w:tabs>
        <w:tab w:val="clear" w:pos="4153"/>
        <w:tab w:val="clear" w:pos="8306"/>
      </w:tabs>
      <w:ind w:right="360" w:firstLine="90" w:firstLineChars="50"/>
      <w:rPr>
        <w:rFonts w:hint="eastAsia" w:ascii="宋体" w:hAnsi="宋体"/>
      </w:rPr>
    </w:pPr>
    <w:r>
      <mc:AlternateContent>
        <mc:Choice Requires="wps">
          <w:drawing>
            <wp:anchor distT="0" distB="0" distL="114300" distR="114300" simplePos="0" relativeHeight="251669504" behindDoc="0" locked="0" layoutInCell="1" allowOverlap="1">
              <wp:simplePos x="0" y="0"/>
              <wp:positionH relativeFrom="margin">
                <wp:posOffset>5452745</wp:posOffset>
              </wp:positionH>
              <wp:positionV relativeFrom="paragraph">
                <wp:posOffset>31750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777B9C">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29.35pt;margin-top:2.5pt;height:144pt;width:144pt;mso-position-horizontal-relative:margin;mso-wrap-style:none;z-index:251669504;mso-width-relative:page;mso-height-relative:page;" filled="f" stroked="f" coordsize="21600,21600" o:gfxdata="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zi5erXAAAACgEAAA8AAAAAAAAAAQAgAAAAIgAAAGRycy9kb3ducmV2LnhtbFBLAQIU&#10;ABQAAAAIAIdO4kDTYk1lLQIAAFcEAAAOAAAAAAAAAAEAIAAAACYBAABkcnMvZTJvRG9jLnhtbFBL&#10;BQYAAAAABgAGAFkBAADFBQAAAAA=&#10;">
              <v:fill on="f" focussize="0,0"/>
              <v:stroke on="f" weight="0.5pt"/>
              <v:imagedata o:title=""/>
              <o:lock v:ext="edit" aspectratio="f"/>
              <v:textbox inset="0mm,0mm,0mm,0mm" style="mso-fit-shape-to-text:t;">
                <w:txbxContent>
                  <w:p w14:paraId="53777B9C">
                    <w:pPr>
                      <w:pStyle w:val="14"/>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margin">
                <wp:posOffset>5491480</wp:posOffset>
              </wp:positionH>
              <wp:positionV relativeFrom="paragraph">
                <wp:posOffset>40640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BD328">
                          <w:pPr>
                            <w:pStyle w:val="1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32.4pt;margin-top:3.2pt;height:144pt;width:144pt;mso-position-horizontal-relative:margin;mso-wrap-style:none;z-index:251668480;mso-width-relative:page;mso-height-relative:page;" filled="f" stroked="f" coordsize="21600,21600" o:gfxdata="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YT3h/XAAAACgEAAA8AAAAAAAAAAQAgAAAAIgAAAGRycy9kb3ducmV2LnhtbFBLAQIU&#10;ABQAAAAIAIdO4kArtLilLQIAAFcEAAAOAAAAAAAAAAEAIAAAACYBAABkcnMvZTJvRG9jLnhtbFBL&#10;BQYAAAAABgAGAFkBAADFBQAAAAA=&#10;">
              <v:fill on="f" focussize="0,0"/>
              <v:stroke on="f" weight="0.5pt"/>
              <v:imagedata o:title=""/>
              <o:lock v:ext="edit" aspectratio="f"/>
              <v:textbox inset="0mm,0mm,0mm,0mm" style="mso-fit-shape-to-text:t;">
                <w:txbxContent>
                  <w:p w14:paraId="297BD328">
                    <w:pPr>
                      <w:pStyle w:val="14"/>
                    </w:pPr>
                  </w:p>
                </w:txbxContent>
              </v:textbox>
            </v:shape>
          </w:pict>
        </mc:Fallback>
      </mc:AlternateContent>
    </w:r>
    <w:r>
      <w:rPr>
        <w:rFonts w:hint="eastAsia" w:ascii="宋体" w:hAnsi="宋体"/>
        <w:color w:val="000000"/>
        <w:shd w:val="clear" w:color="auto" w:fill="FFFFFF"/>
      </w:rPr>
      <w:t>河南荣之鑫工程管理有限公司</w:t>
    </w:r>
    <w:r>
      <w:rPr>
        <w:rFonts w:hint="eastAsia" w:ascii="宋体" w:hAnsi="宋体"/>
      </w:rPr>
      <w:tab/>
    </w:r>
  </w:p>
  <w:p w14:paraId="72B3996E">
    <w:pPr>
      <w:pStyle w:val="58"/>
      <w:tabs>
        <w:tab w:val="left" w:pos="5352"/>
        <w:tab w:val="clear" w:pos="4153"/>
        <w:tab w:val="clear" w:pos="8306"/>
      </w:tabs>
      <w:ind w:right="360" w:firstLine="90" w:firstLineChars="50"/>
    </w:pPr>
    <w:r>
      <w:tab/>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FCDBA">
    <w:pPr>
      <w:shd w:val="solid" w:color="FFFFFF" w:fill="auto"/>
      <w:autoSpaceDN w:val="0"/>
      <w:spacing w:line="440" w:lineRule="exact"/>
      <w:ind w:right="-489" w:firstLine="180" w:firstLineChars="100"/>
      <w:jc w:val="left"/>
      <w:rPr>
        <w:rFonts w:hint="eastAsia" w:ascii="宋体" w:hAnsi="宋体"/>
        <w:sz w:val="18"/>
        <w:szCs w:val="18"/>
      </w:rPr>
    </w:pPr>
    <w:r>
      <w:rPr>
        <w:rFonts w:hint="eastAsia" w:ascii="宋体" w:hAnsi="宋体"/>
        <w:sz w:val="18"/>
        <w:szCs w:val="18"/>
        <w:lang w:eastAsia="zh-CN"/>
      </w:rPr>
      <w:t>平顶山市工业学校新媒体营销实训系统及实训室建设项目</w:t>
    </w:r>
    <w:r>
      <w:rPr>
        <w:rFonts w:hint="eastAsia" w:ascii="宋体" w:hAnsi="宋体"/>
        <w:sz w:val="18"/>
        <w:szCs w:val="18"/>
      </w:rPr>
      <w:t xml:space="preserve">             </w:t>
    </w:r>
    <w:r>
      <w:rPr>
        <w:rFonts w:hint="eastAsia" w:ascii="宋体" w:hAnsi="宋体"/>
        <w:sz w:val="18"/>
        <w:szCs w:val="18"/>
        <w:lang w:val="en-US" w:eastAsia="zh-CN"/>
      </w:rPr>
      <w:t xml:space="preserve">   </w:t>
    </w:r>
    <w:r>
      <w:rPr>
        <w:rFonts w:hint="eastAsia" w:ascii="宋体" w:hAnsi="宋体"/>
        <w:sz w:val="18"/>
        <w:szCs w:val="18"/>
      </w:rPr>
      <w:t xml:space="preserve">                      招标文件</w:t>
    </w:r>
  </w:p>
  <w:p w14:paraId="17B1B4DA">
    <w:pPr>
      <w:pStyle w:val="60"/>
      <w:pBdr>
        <w:bottom w:val="none" w:color="auto" w:sz="0" w:space="1"/>
      </w:pBdr>
      <w:tabs>
        <w:tab w:val="clear" w:pos="4153"/>
        <w:tab w:val="clear" w:pos="8306"/>
      </w:tabs>
    </w:pPr>
    <w: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55245</wp:posOffset>
              </wp:positionV>
              <wp:extent cx="5715000" cy="10160"/>
              <wp:effectExtent l="34290" t="36830" r="32385" b="29210"/>
              <wp:wrapNone/>
              <wp:docPr id="8" name="Line 1025"/>
              <wp:cNvGraphicFramePr/>
              <a:graphic xmlns:a="http://schemas.openxmlformats.org/drawingml/2006/main">
                <a:graphicData uri="http://schemas.microsoft.com/office/word/2010/wordprocessingShape">
                  <wps:wsp>
                    <wps:cNvCnPr>
                      <a:cxnSpLocks noChangeShapeType="1"/>
                    </wps:cNvCnPr>
                    <wps:spPr bwMode="auto">
                      <a:xfrm>
                        <a:off x="0" y="0"/>
                        <a:ext cx="5715000" cy="10160"/>
                      </a:xfrm>
                      <a:prstGeom prst="line">
                        <a:avLst/>
                      </a:prstGeom>
                      <a:noFill/>
                      <a:ln w="57150" cmpd="thinThick">
                        <a:solidFill>
                          <a:srgbClr val="000000"/>
                        </a:solidFill>
                        <a:round/>
                      </a:ln>
                    </wps:spPr>
                    <wps:bodyPr/>
                  </wps:wsp>
                </a:graphicData>
              </a:graphic>
            </wp:anchor>
          </w:drawing>
        </mc:Choice>
        <mc:Fallback>
          <w:pict>
            <v:line id="Line 1025" o:spid="_x0000_s1026" o:spt="20" style="position:absolute;left:0pt;margin-left:0.45pt;margin-top:4.35pt;height:0.8pt;width:450pt;z-index:251663360;mso-width-relative:page;mso-height-relative:page;" filled="f" stroked="t" coordsize="21600,21600" o:gfxdata="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lix8vVAAAABQEAAA8AAAAAAAAAAQAg&#10;AAAAIgAAAGRycy9kb3ducmV2LnhtbFBLAQIUABQAAAAIAIdO4kBoKMhv2AEAALgDAAAOAAAAAAAA&#10;AAEAIAAAACQBAABkcnMvZTJvRG9jLnhtbFBLBQYAAAAABgAGAFkBAABuBQAAAAA=&#10;">
              <v:fill on="f" focussize="0,0"/>
              <v:stroke weight="4.5pt" color="#000000" linestyle="thinThick" joinstyle="round"/>
              <v:imagedata o:title=""/>
              <o:lock v:ext="edit" aspectratio="f"/>
            </v:line>
          </w:pict>
        </mc:Fallback>
      </mc:AlternateContent>
    </w:r>
    <w:r>
      <mc:AlternateContent>
        <mc:Choice Requires="wps">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5622290" cy="1270"/>
              <wp:effectExtent l="0" t="0" r="0" b="0"/>
              <wp:wrapNone/>
              <wp:docPr id="5" name="_x0000_s2049"/>
              <wp:cNvGraphicFramePr/>
              <a:graphic xmlns:a="http://schemas.openxmlformats.org/drawingml/2006/main">
                <a:graphicData uri="http://schemas.microsoft.com/office/word/2010/wordprocessingShape">
                  <wps:wsp>
                    <wps:cNvCnPr/>
                    <wps:spPr>
                      <a:xfrm flipV="1">
                        <a:off x="29844" y="64770"/>
                        <a:ext cx="5622291" cy="1270"/>
                      </a:xfrm>
                      <a:prstGeom prst="line">
                        <a:avLst/>
                      </a:prstGeom>
                      <a:ln w="3175">
                        <a:solidFill>
                          <a:prstClr val="white"/>
                        </a:solidFill>
                      </a:ln>
                    </wps:spPr>
                    <wps:bodyPr/>
                  </wps:wsp>
                </a:graphicData>
              </a:graphic>
            </wp:anchor>
          </w:drawing>
        </mc:Choice>
        <mc:Fallback>
          <w:pict>
            <v:line id="_x0000_s2049" o:spid="_x0000_s1026" o:spt="20" style="position:absolute;left:0pt;flip:y;margin-left:0pt;margin-top:0pt;height:0.1pt;width:442.7pt;z-index:251659264;mso-width-relative:page;mso-height-relative:page;" filled="f" stroked="t" coordsize="21600,21600" o:gfxdata="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zN9e2&#10;0QAAAAIBAAAPAAAAAAAAAAEAIAAAACIAAABkcnMvZG93bnJldi54bWxQSwECFAAUAAAACACHTuJA&#10;AxUs87YBAABkAwAADgAAAAAAAAABACAAAAAgAQAAZHJzL2Uyb0RvYy54bWxQSwUGAAAAAAYABgBZ&#10;AQAASAUAAAAA&#10;">
              <v:fill on="f" focussize="0,0"/>
              <v:stroke weight="0.25pt" color="#FFFFFF"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5D194">
    <w:pPr>
      <w:shd w:val="solid" w:color="FFFFFF" w:fill="auto"/>
      <w:autoSpaceDN w:val="0"/>
      <w:spacing w:line="440" w:lineRule="exact"/>
      <w:ind w:right="-489" w:firstLine="180" w:firstLineChars="100"/>
      <w:jc w:val="left"/>
      <w:rPr>
        <w:rFonts w:hint="eastAsia" w:ascii="宋体" w:hAnsi="宋体"/>
        <w:sz w:val="18"/>
        <w:szCs w:val="18"/>
      </w:rPr>
    </w:pPr>
    <w:r>
      <w:rPr>
        <w:rFonts w:hint="eastAsia" w:ascii="宋体" w:hAnsi="宋体"/>
        <w:sz w:val="18"/>
        <w:szCs w:val="18"/>
        <w:lang w:eastAsia="zh-CN"/>
      </w:rPr>
      <w:t>平顶山市工业学校新媒体营销实训系统及实训室建设项目</w:t>
    </w:r>
    <w:r>
      <w:rPr>
        <w:rFonts w:hint="eastAsia" w:ascii="宋体" w:hAnsi="宋体"/>
        <w:sz w:val="18"/>
        <w:szCs w:val="18"/>
      </w:rPr>
      <w:t xml:space="preserve">                                       招标文件</w:t>
    </w:r>
  </w:p>
  <w:p w14:paraId="59D7AF7C">
    <w:pPr>
      <w:pStyle w:val="60"/>
      <w:pBdr>
        <w:bottom w:val="none" w:color="auto" w:sz="0" w:space="1"/>
      </w:pBdr>
      <w:tabs>
        <w:tab w:val="clear" w:pos="4153"/>
        <w:tab w:val="clear" w:pos="8306"/>
      </w:tabs>
    </w:pPr>
    <w:r>
      <mc:AlternateContent>
        <mc:Choice Requires="wps">
          <w:drawing>
            <wp:anchor distT="0" distB="0" distL="114300" distR="114300" simplePos="0" relativeHeight="251666432" behindDoc="0" locked="0" layoutInCell="1" allowOverlap="1">
              <wp:simplePos x="0" y="0"/>
              <wp:positionH relativeFrom="column">
                <wp:posOffset>3810</wp:posOffset>
              </wp:positionH>
              <wp:positionV relativeFrom="paragraph">
                <wp:posOffset>10160</wp:posOffset>
              </wp:positionV>
              <wp:extent cx="5762625" cy="15875"/>
              <wp:effectExtent l="0" t="28575" r="9525" b="31750"/>
              <wp:wrapNone/>
              <wp:docPr id="17" name="Line 1025"/>
              <wp:cNvGraphicFramePr/>
              <a:graphic xmlns:a="http://schemas.openxmlformats.org/drawingml/2006/main">
                <a:graphicData uri="http://schemas.microsoft.com/office/word/2010/wordprocessingShape">
                  <wps:wsp>
                    <wps:cNvCnPr>
                      <a:cxnSpLocks noChangeShapeType="1"/>
                    </wps:cNvCnPr>
                    <wps:spPr bwMode="auto">
                      <a:xfrm flipV="1">
                        <a:off x="0" y="0"/>
                        <a:ext cx="5762625" cy="15875"/>
                      </a:xfrm>
                      <a:prstGeom prst="line">
                        <a:avLst/>
                      </a:prstGeom>
                      <a:noFill/>
                      <a:ln w="57150" cmpd="thinThick">
                        <a:solidFill>
                          <a:srgbClr val="000000"/>
                        </a:solidFill>
                        <a:round/>
                      </a:ln>
                    </wps:spPr>
                    <wps:bodyPr/>
                  </wps:wsp>
                </a:graphicData>
              </a:graphic>
            </wp:anchor>
          </w:drawing>
        </mc:Choice>
        <mc:Fallback>
          <w:pict>
            <v:line id="Line 1025" o:spid="_x0000_s1026" o:spt="20" style="position:absolute;left:0pt;flip:y;margin-left:0.3pt;margin-top:0.8pt;height:1.25pt;width:453.75pt;z-index:251666432;mso-width-relative:page;mso-height-relative:page;" filled="f" stroked="t" coordsize="21600,21600" o:gfxdata="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9yIqc9EAAAAEAQAADwAAAAAA&#10;AAABACAAAAAiAAAAZHJzL2Rvd25yZXYueG1sUEsBAhQAFAAAAAgAh07iQDFRilzhAQAAwwMAAA4A&#10;AAAAAAAAAQAgAAAAIAEAAGRycy9lMm9Eb2MueG1sUEsFBgAAAAAGAAYAWQEAAHMFAAAAAA==&#10;">
              <v:fill on="f" focussize="0,0"/>
              <v:stroke weight="4.5pt" color="#000000" linestyle="thinThick" joinstyle="round"/>
              <v:imagedata o:title=""/>
              <o:lock v:ext="edit" aspectratio="f"/>
            </v:line>
          </w:pict>
        </mc:Fallback>
      </mc:AlternateContent>
    </w:r>
    <w:r>
      <mc:AlternateContent>
        <mc:Choice Requires="wps">
          <w:drawing>
            <wp:anchor distT="0" distB="0" distL="0" distR="0" simplePos="0" relativeHeight="251665408" behindDoc="0" locked="0" layoutInCell="1" allowOverlap="1">
              <wp:simplePos x="0" y="0"/>
              <wp:positionH relativeFrom="column">
                <wp:posOffset>0</wp:posOffset>
              </wp:positionH>
              <wp:positionV relativeFrom="paragraph">
                <wp:posOffset>0</wp:posOffset>
              </wp:positionV>
              <wp:extent cx="5622290" cy="1270"/>
              <wp:effectExtent l="0" t="0" r="0" b="0"/>
              <wp:wrapNone/>
              <wp:docPr id="18" name="_x0000_s2049"/>
              <wp:cNvGraphicFramePr/>
              <a:graphic xmlns:a="http://schemas.openxmlformats.org/drawingml/2006/main">
                <a:graphicData uri="http://schemas.microsoft.com/office/word/2010/wordprocessingShape">
                  <wps:wsp>
                    <wps:cNvCnPr/>
                    <wps:spPr>
                      <a:xfrm flipV="1">
                        <a:off x="29844" y="64770"/>
                        <a:ext cx="5622291" cy="1270"/>
                      </a:xfrm>
                      <a:prstGeom prst="line">
                        <a:avLst/>
                      </a:prstGeom>
                      <a:ln w="3175">
                        <a:solidFill>
                          <a:prstClr val="white"/>
                        </a:solidFill>
                      </a:ln>
                    </wps:spPr>
                    <wps:bodyPr/>
                  </wps:wsp>
                </a:graphicData>
              </a:graphic>
            </wp:anchor>
          </w:drawing>
        </mc:Choice>
        <mc:Fallback>
          <w:pict>
            <v:line id="_x0000_s2049" o:spid="_x0000_s1026" o:spt="20" style="position:absolute;left:0pt;flip:y;margin-left:0pt;margin-top:0pt;height:0.1pt;width:442.7pt;z-index:251665408;mso-width-relative:page;mso-height-relative:page;" filled="f" stroked="t" coordsize="21600,21600" o:gfxdata="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DM317bR&#10;AAAAAgEAAA8AAAAAAAAAAQAgAAAAIgAAAGRycy9kb3ducmV2LnhtbFBLAQIUABQAAAAIAIdO4kCv&#10;k4EltQEAAGUDAAAOAAAAAAAAAAEAIAAAACABAABkcnMvZTJvRG9jLnhtbFBLBQYAAAAABgAGAFkB&#10;AABHBQAAAAA=&#10;">
              <v:fill on="f" focussize="0,0"/>
              <v:stroke weight="0.25pt" color="#FFFFFF" joinstyle="round"/>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46C5F"/>
    <w:multiLevelType w:val="singleLevel"/>
    <w:tmpl w:val="89D46C5F"/>
    <w:lvl w:ilvl="0" w:tentative="0">
      <w:start w:val="1"/>
      <w:numFmt w:val="decimal"/>
      <w:suff w:val="nothing"/>
      <w:lvlText w:val="（%1）"/>
      <w:lvlJc w:val="left"/>
    </w:lvl>
  </w:abstractNum>
  <w:abstractNum w:abstractNumId="1">
    <w:nsid w:val="BF6BC116"/>
    <w:multiLevelType w:val="singleLevel"/>
    <w:tmpl w:val="BF6BC116"/>
    <w:lvl w:ilvl="0" w:tentative="0">
      <w:start w:val="16"/>
      <w:numFmt w:val="decimal"/>
      <w:suff w:val="space"/>
      <w:lvlText w:val="%1."/>
      <w:lvlJc w:val="left"/>
    </w:lvl>
  </w:abstractNum>
  <w:abstractNum w:abstractNumId="2">
    <w:nsid w:val="CFE7C3F8"/>
    <w:multiLevelType w:val="singleLevel"/>
    <w:tmpl w:val="CFE7C3F8"/>
    <w:lvl w:ilvl="0" w:tentative="0">
      <w:start w:val="1"/>
      <w:numFmt w:val="decimal"/>
      <w:suff w:val="nothing"/>
      <w:lvlText w:val="（%1）"/>
      <w:lvlJc w:val="left"/>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FFEFC674"/>
    <w:multiLevelType w:val="singleLevel"/>
    <w:tmpl w:val="FFEFC674"/>
    <w:lvl w:ilvl="0" w:tentative="0">
      <w:start w:val="1"/>
      <w:numFmt w:val="decimal"/>
      <w:suff w:val="nothing"/>
      <w:lvlText w:val="（%1）"/>
      <w:lvlJc w:val="left"/>
    </w:lvl>
  </w:abstractNum>
  <w:abstractNum w:abstractNumId="7">
    <w:nsid w:val="0000000E"/>
    <w:multiLevelType w:val="singleLevel"/>
    <w:tmpl w:val="0000000E"/>
    <w:lvl w:ilvl="0" w:tentative="0">
      <w:start w:val="1"/>
      <w:numFmt w:val="chineseCounting"/>
      <w:suff w:val="space"/>
      <w:lvlText w:val="第%1章"/>
      <w:lvlJc w:val="left"/>
    </w:lvl>
  </w:abstractNum>
  <w:abstractNum w:abstractNumId="8">
    <w:nsid w:val="75C2C2BC"/>
    <w:multiLevelType w:val="multilevel"/>
    <w:tmpl w:val="75C2C2BC"/>
    <w:lvl w:ilvl="0" w:tentative="0">
      <w:start w:val="1"/>
      <w:numFmt w:val="chineseCountingThousand"/>
      <w:lvlText w:val="%1、"/>
      <w:lvlJc w:val="left"/>
      <w:pPr>
        <w:ind w:left="0" w:firstLine="0"/>
      </w:pPr>
      <w:rPr>
        <w:rFonts w:hint="eastAsia" w:ascii="宋体" w:hAnsi="宋体" w:eastAsia="宋体"/>
      </w:rPr>
    </w:lvl>
    <w:lvl w:ilvl="1" w:tentative="0">
      <w:start w:val="1"/>
      <w:numFmt w:val="decimal"/>
      <w:lvlText w:val="%1.%2"/>
      <w:lvlJc w:val="left"/>
      <w:pPr>
        <w:ind w:left="576" w:hanging="576"/>
      </w:pPr>
      <w:rPr>
        <w:rFonts w:hint="eastAsia" w:ascii="宋体" w:hAnsi="宋体" w:eastAsia="宋体"/>
      </w:rPr>
    </w:lvl>
    <w:lvl w:ilvl="2" w:tentative="0">
      <w:start w:val="1"/>
      <w:numFmt w:val="decimal"/>
      <w:pStyle w:val="35"/>
      <w:lvlText w:val="%1.%2.%3"/>
      <w:lvlJc w:val="left"/>
      <w:pPr>
        <w:ind w:left="720" w:hanging="720"/>
      </w:pPr>
      <w:rPr>
        <w:rFonts w:hint="eastAsia" w:ascii="宋体" w:hAnsi="宋体" w:eastAsia="宋体"/>
      </w:rPr>
    </w:lvl>
    <w:lvl w:ilvl="3" w:tentative="0">
      <w:start w:val="1"/>
      <w:numFmt w:val="decimal"/>
      <w:suff w:val="space"/>
      <w:lvlText w:val="%1.%2.%3.%4"/>
      <w:lvlJc w:val="left"/>
      <w:pPr>
        <w:ind w:left="864" w:hanging="864"/>
      </w:pPr>
      <w:rPr>
        <w:rFonts w:hint="eastAsia" w:ascii="宋体" w:hAnsi="宋体" w:eastAsia="宋体"/>
      </w:rPr>
    </w:lvl>
    <w:lvl w:ilvl="4" w:tentative="0">
      <w:start w:val="1"/>
      <w:numFmt w:val="decimal"/>
      <w:lvlText w:val="%1.%2.%3.%4.%5"/>
      <w:lvlJc w:val="left"/>
      <w:pPr>
        <w:ind w:left="1008" w:hanging="1008"/>
      </w:pPr>
      <w:rPr>
        <w:rFonts w:hint="eastAsia" w:ascii="宋体" w:hAnsi="宋体" w:eastAsia="宋体"/>
      </w:rPr>
    </w:lvl>
    <w:lvl w:ilvl="5" w:tentative="0">
      <w:start w:val="1"/>
      <w:numFmt w:val="decimal"/>
      <w:lvlText w:val="%1.%2.%3.%4.%5.%6"/>
      <w:lvlJc w:val="left"/>
      <w:pPr>
        <w:ind w:left="1152" w:hanging="1152"/>
      </w:pPr>
      <w:rPr>
        <w:rFonts w:hint="eastAsia" w:ascii="宋体" w:hAnsi="宋体" w:eastAsia="宋体"/>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9">
    <w:nsid w:val="7A0F6431"/>
    <w:multiLevelType w:val="singleLevel"/>
    <w:tmpl w:val="7A0F6431"/>
    <w:lvl w:ilvl="0" w:tentative="0">
      <w:start w:val="1"/>
      <w:numFmt w:val="decimal"/>
      <w:suff w:val="space"/>
      <w:lvlText w:val="%1."/>
      <w:lvlJc w:val="left"/>
    </w:lvl>
  </w:abstractNum>
  <w:num w:numId="1">
    <w:abstractNumId w:val="8"/>
  </w:num>
  <w:num w:numId="2">
    <w:abstractNumId w:val="7"/>
  </w:num>
  <w:num w:numId="3">
    <w:abstractNumId w:val="0"/>
  </w:num>
  <w:num w:numId="4">
    <w:abstractNumId w:val="9"/>
  </w:num>
  <w:num w:numId="5">
    <w:abstractNumId w:val="2"/>
  </w:num>
  <w:num w:numId="6">
    <w:abstractNumId w:val="6"/>
  </w:num>
  <w:num w:numId="7">
    <w:abstractNumId w:val="4"/>
  </w:num>
  <w:num w:numId="8">
    <w:abstractNumId w:val="3"/>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kyZDEyMmQwNTQ2MzQ3NDZhMDJiMzk2Y2I5MzYxMmEifQ=="/>
    <w:docVar w:name="KSO_WPS_MARK_KEY" w:val="3dfe2f52-dd3b-4b41-940e-8abad42302dc"/>
  </w:docVars>
  <w:rsids>
    <w:rsidRoot w:val="00451421"/>
    <w:rsid w:val="000551BC"/>
    <w:rsid w:val="00061581"/>
    <w:rsid w:val="000A4229"/>
    <w:rsid w:val="001B2BB3"/>
    <w:rsid w:val="001E1C6F"/>
    <w:rsid w:val="00413C39"/>
    <w:rsid w:val="00434166"/>
    <w:rsid w:val="00451421"/>
    <w:rsid w:val="00504766"/>
    <w:rsid w:val="00541792"/>
    <w:rsid w:val="005E32C0"/>
    <w:rsid w:val="006F782C"/>
    <w:rsid w:val="007B4998"/>
    <w:rsid w:val="008163E2"/>
    <w:rsid w:val="008251E0"/>
    <w:rsid w:val="00833EBE"/>
    <w:rsid w:val="008808C2"/>
    <w:rsid w:val="008B2153"/>
    <w:rsid w:val="009F4F5B"/>
    <w:rsid w:val="00AA1649"/>
    <w:rsid w:val="00AA29F8"/>
    <w:rsid w:val="00B1283A"/>
    <w:rsid w:val="00B2710F"/>
    <w:rsid w:val="00B30A07"/>
    <w:rsid w:val="00C02B43"/>
    <w:rsid w:val="00C32394"/>
    <w:rsid w:val="00C84F47"/>
    <w:rsid w:val="00CC2EE0"/>
    <w:rsid w:val="00CD15FD"/>
    <w:rsid w:val="00D308C2"/>
    <w:rsid w:val="00D43741"/>
    <w:rsid w:val="00D576C1"/>
    <w:rsid w:val="00DF4F55"/>
    <w:rsid w:val="00E17458"/>
    <w:rsid w:val="00E51C72"/>
    <w:rsid w:val="00E55180"/>
    <w:rsid w:val="00E7145C"/>
    <w:rsid w:val="00EB27AB"/>
    <w:rsid w:val="013A5B8D"/>
    <w:rsid w:val="017F22D2"/>
    <w:rsid w:val="0204112E"/>
    <w:rsid w:val="02BA3F8E"/>
    <w:rsid w:val="032610FB"/>
    <w:rsid w:val="043143F6"/>
    <w:rsid w:val="045B52FD"/>
    <w:rsid w:val="04B16813"/>
    <w:rsid w:val="04DA184C"/>
    <w:rsid w:val="04F52C21"/>
    <w:rsid w:val="052640CD"/>
    <w:rsid w:val="05AA02EA"/>
    <w:rsid w:val="05C32CC9"/>
    <w:rsid w:val="061351B8"/>
    <w:rsid w:val="06324BA3"/>
    <w:rsid w:val="064874F1"/>
    <w:rsid w:val="066606B5"/>
    <w:rsid w:val="06F757B1"/>
    <w:rsid w:val="071C503B"/>
    <w:rsid w:val="07E615A9"/>
    <w:rsid w:val="085C6CE0"/>
    <w:rsid w:val="085F011D"/>
    <w:rsid w:val="087A16E0"/>
    <w:rsid w:val="093E0D19"/>
    <w:rsid w:val="0969226A"/>
    <w:rsid w:val="09834392"/>
    <w:rsid w:val="09AD0B8A"/>
    <w:rsid w:val="09D7387A"/>
    <w:rsid w:val="0A363DB8"/>
    <w:rsid w:val="0A5B0AFA"/>
    <w:rsid w:val="0A5F36E0"/>
    <w:rsid w:val="0A680129"/>
    <w:rsid w:val="0A8A4485"/>
    <w:rsid w:val="0AD6045E"/>
    <w:rsid w:val="0B1120A6"/>
    <w:rsid w:val="0B685E0C"/>
    <w:rsid w:val="0C2926C8"/>
    <w:rsid w:val="0C460641"/>
    <w:rsid w:val="0CC371C5"/>
    <w:rsid w:val="0CEB1914"/>
    <w:rsid w:val="0D0D6349"/>
    <w:rsid w:val="0D8238FA"/>
    <w:rsid w:val="0DE13AFB"/>
    <w:rsid w:val="0DE63E89"/>
    <w:rsid w:val="0E3966AF"/>
    <w:rsid w:val="0F0C2AF2"/>
    <w:rsid w:val="0F2700A3"/>
    <w:rsid w:val="0F340C24"/>
    <w:rsid w:val="0F41761A"/>
    <w:rsid w:val="0F661BEE"/>
    <w:rsid w:val="0FBB0301"/>
    <w:rsid w:val="0FBD0C1A"/>
    <w:rsid w:val="10530545"/>
    <w:rsid w:val="10DE28AD"/>
    <w:rsid w:val="110E3E23"/>
    <w:rsid w:val="11272909"/>
    <w:rsid w:val="11834FC5"/>
    <w:rsid w:val="11B61DC5"/>
    <w:rsid w:val="11BF1CE5"/>
    <w:rsid w:val="11CC1E99"/>
    <w:rsid w:val="11DB0C82"/>
    <w:rsid w:val="120B6A44"/>
    <w:rsid w:val="12371B87"/>
    <w:rsid w:val="12B5154F"/>
    <w:rsid w:val="12EC5958"/>
    <w:rsid w:val="13B14409"/>
    <w:rsid w:val="142B1F63"/>
    <w:rsid w:val="1436637B"/>
    <w:rsid w:val="145A4DFA"/>
    <w:rsid w:val="145E6210"/>
    <w:rsid w:val="14FF3FCF"/>
    <w:rsid w:val="151B4FA1"/>
    <w:rsid w:val="159E329B"/>
    <w:rsid w:val="15A90CE8"/>
    <w:rsid w:val="15B8435D"/>
    <w:rsid w:val="16186C75"/>
    <w:rsid w:val="16476255"/>
    <w:rsid w:val="16745D89"/>
    <w:rsid w:val="18115979"/>
    <w:rsid w:val="19107691"/>
    <w:rsid w:val="19B12991"/>
    <w:rsid w:val="19D562BA"/>
    <w:rsid w:val="19F06DC2"/>
    <w:rsid w:val="19F31E08"/>
    <w:rsid w:val="1A75077C"/>
    <w:rsid w:val="1A850730"/>
    <w:rsid w:val="1AE13C5B"/>
    <w:rsid w:val="1DA67191"/>
    <w:rsid w:val="1DB74DC0"/>
    <w:rsid w:val="1E8E4CFE"/>
    <w:rsid w:val="1ECB5101"/>
    <w:rsid w:val="1F5164BE"/>
    <w:rsid w:val="1F9803AC"/>
    <w:rsid w:val="20175B16"/>
    <w:rsid w:val="203E34DF"/>
    <w:rsid w:val="20655407"/>
    <w:rsid w:val="206931DD"/>
    <w:rsid w:val="20AB6760"/>
    <w:rsid w:val="212118D1"/>
    <w:rsid w:val="212A7089"/>
    <w:rsid w:val="219739C1"/>
    <w:rsid w:val="219A3F4D"/>
    <w:rsid w:val="21E12815"/>
    <w:rsid w:val="222032E9"/>
    <w:rsid w:val="22AC3E21"/>
    <w:rsid w:val="2320205C"/>
    <w:rsid w:val="252A68FA"/>
    <w:rsid w:val="25E240DC"/>
    <w:rsid w:val="26197D30"/>
    <w:rsid w:val="261E020C"/>
    <w:rsid w:val="26303540"/>
    <w:rsid w:val="26F92A28"/>
    <w:rsid w:val="278065DC"/>
    <w:rsid w:val="27B27826"/>
    <w:rsid w:val="27BB1A8B"/>
    <w:rsid w:val="292B4496"/>
    <w:rsid w:val="29A24CB1"/>
    <w:rsid w:val="29BA46F0"/>
    <w:rsid w:val="29D96B13"/>
    <w:rsid w:val="29E704EB"/>
    <w:rsid w:val="2A9E6B51"/>
    <w:rsid w:val="2B2007FA"/>
    <w:rsid w:val="2B3513CD"/>
    <w:rsid w:val="2B396608"/>
    <w:rsid w:val="2B54022C"/>
    <w:rsid w:val="2BC26E56"/>
    <w:rsid w:val="2BD618AE"/>
    <w:rsid w:val="2BE02651"/>
    <w:rsid w:val="2BF45628"/>
    <w:rsid w:val="2C091DC2"/>
    <w:rsid w:val="2C1A14E9"/>
    <w:rsid w:val="2C623552"/>
    <w:rsid w:val="2C9A4365"/>
    <w:rsid w:val="2D1F13AC"/>
    <w:rsid w:val="2D380691"/>
    <w:rsid w:val="2DDD14C8"/>
    <w:rsid w:val="2EAD4823"/>
    <w:rsid w:val="2EB370E8"/>
    <w:rsid w:val="2ED7598C"/>
    <w:rsid w:val="2EE649B2"/>
    <w:rsid w:val="2EE67D35"/>
    <w:rsid w:val="2F067A90"/>
    <w:rsid w:val="2F592908"/>
    <w:rsid w:val="2F8323EF"/>
    <w:rsid w:val="2FC420F1"/>
    <w:rsid w:val="3079289A"/>
    <w:rsid w:val="30AF02FF"/>
    <w:rsid w:val="31102E48"/>
    <w:rsid w:val="312B248D"/>
    <w:rsid w:val="313308E4"/>
    <w:rsid w:val="31B80C1B"/>
    <w:rsid w:val="328B5D49"/>
    <w:rsid w:val="32A314EE"/>
    <w:rsid w:val="32E5431C"/>
    <w:rsid w:val="331C1F78"/>
    <w:rsid w:val="33723B73"/>
    <w:rsid w:val="33C40EE9"/>
    <w:rsid w:val="33DC5707"/>
    <w:rsid w:val="340A6274"/>
    <w:rsid w:val="34727A42"/>
    <w:rsid w:val="34D06BE7"/>
    <w:rsid w:val="34ED49E9"/>
    <w:rsid w:val="350B4052"/>
    <w:rsid w:val="35394CB7"/>
    <w:rsid w:val="355C7627"/>
    <w:rsid w:val="356822FA"/>
    <w:rsid w:val="35731BF7"/>
    <w:rsid w:val="358A2294"/>
    <w:rsid w:val="360E6923"/>
    <w:rsid w:val="375D12FC"/>
    <w:rsid w:val="3767098C"/>
    <w:rsid w:val="38464922"/>
    <w:rsid w:val="385066A0"/>
    <w:rsid w:val="388B07C0"/>
    <w:rsid w:val="38A071A7"/>
    <w:rsid w:val="39303475"/>
    <w:rsid w:val="395A1104"/>
    <w:rsid w:val="39BC7C21"/>
    <w:rsid w:val="3AAD5BAB"/>
    <w:rsid w:val="3B2F3E18"/>
    <w:rsid w:val="3B5438F3"/>
    <w:rsid w:val="3BC40C5C"/>
    <w:rsid w:val="3BD333EF"/>
    <w:rsid w:val="3D5C38AB"/>
    <w:rsid w:val="3DB508FA"/>
    <w:rsid w:val="3DF81767"/>
    <w:rsid w:val="3DFE0BF8"/>
    <w:rsid w:val="3EF46C8A"/>
    <w:rsid w:val="40520D87"/>
    <w:rsid w:val="406776E2"/>
    <w:rsid w:val="40CD48B1"/>
    <w:rsid w:val="41BA3FC1"/>
    <w:rsid w:val="41C73F13"/>
    <w:rsid w:val="41D22C62"/>
    <w:rsid w:val="41E07C22"/>
    <w:rsid w:val="423F358D"/>
    <w:rsid w:val="42725710"/>
    <w:rsid w:val="4289397B"/>
    <w:rsid w:val="428C0CF8"/>
    <w:rsid w:val="42D24401"/>
    <w:rsid w:val="42D53EF1"/>
    <w:rsid w:val="42FF08B3"/>
    <w:rsid w:val="43161031"/>
    <w:rsid w:val="4348021F"/>
    <w:rsid w:val="436E31AC"/>
    <w:rsid w:val="437B634C"/>
    <w:rsid w:val="43922E9C"/>
    <w:rsid w:val="43CC63A0"/>
    <w:rsid w:val="43D30246"/>
    <w:rsid w:val="43F809F6"/>
    <w:rsid w:val="442A4A05"/>
    <w:rsid w:val="44792BC0"/>
    <w:rsid w:val="44D160F3"/>
    <w:rsid w:val="45150BCE"/>
    <w:rsid w:val="451B33FF"/>
    <w:rsid w:val="45B552C1"/>
    <w:rsid w:val="46891671"/>
    <w:rsid w:val="468C2CF2"/>
    <w:rsid w:val="47326CAE"/>
    <w:rsid w:val="474B29D4"/>
    <w:rsid w:val="47906638"/>
    <w:rsid w:val="47F60B91"/>
    <w:rsid w:val="48443524"/>
    <w:rsid w:val="486F26F2"/>
    <w:rsid w:val="48FD751A"/>
    <w:rsid w:val="491A08B0"/>
    <w:rsid w:val="49B005C3"/>
    <w:rsid w:val="4A730277"/>
    <w:rsid w:val="4AD666B0"/>
    <w:rsid w:val="4B01404C"/>
    <w:rsid w:val="4B602D44"/>
    <w:rsid w:val="4B8464B4"/>
    <w:rsid w:val="4BA462F6"/>
    <w:rsid w:val="4BBB3934"/>
    <w:rsid w:val="4BF44F19"/>
    <w:rsid w:val="4CC463FE"/>
    <w:rsid w:val="4CFD5798"/>
    <w:rsid w:val="4DE47316"/>
    <w:rsid w:val="4DF2239B"/>
    <w:rsid w:val="4E4A7541"/>
    <w:rsid w:val="4E546C52"/>
    <w:rsid w:val="4E8326E2"/>
    <w:rsid w:val="4EDE5915"/>
    <w:rsid w:val="4F2953A8"/>
    <w:rsid w:val="4F89131D"/>
    <w:rsid w:val="4FF951CE"/>
    <w:rsid w:val="502B7C12"/>
    <w:rsid w:val="50A02C76"/>
    <w:rsid w:val="511E2CA3"/>
    <w:rsid w:val="51452486"/>
    <w:rsid w:val="51605A40"/>
    <w:rsid w:val="5186683F"/>
    <w:rsid w:val="52AA3FD2"/>
    <w:rsid w:val="52D448ED"/>
    <w:rsid w:val="54353DA3"/>
    <w:rsid w:val="543676CB"/>
    <w:rsid w:val="54427356"/>
    <w:rsid w:val="544A0AA3"/>
    <w:rsid w:val="546610DE"/>
    <w:rsid w:val="54B7543B"/>
    <w:rsid w:val="555571D9"/>
    <w:rsid w:val="56532EBD"/>
    <w:rsid w:val="56570A4D"/>
    <w:rsid w:val="566F5BEF"/>
    <w:rsid w:val="56AD4B11"/>
    <w:rsid w:val="56B93ADB"/>
    <w:rsid w:val="56FD3DB5"/>
    <w:rsid w:val="573855E8"/>
    <w:rsid w:val="57764AF7"/>
    <w:rsid w:val="57B819BF"/>
    <w:rsid w:val="57CC3E70"/>
    <w:rsid w:val="57D85BBE"/>
    <w:rsid w:val="58586CFE"/>
    <w:rsid w:val="58C17CD9"/>
    <w:rsid w:val="58F7058B"/>
    <w:rsid w:val="59262959"/>
    <w:rsid w:val="596308FD"/>
    <w:rsid w:val="59F32106"/>
    <w:rsid w:val="59F40646"/>
    <w:rsid w:val="5A216C05"/>
    <w:rsid w:val="5A24061C"/>
    <w:rsid w:val="5AA70748"/>
    <w:rsid w:val="5B2F42BD"/>
    <w:rsid w:val="5B2F462F"/>
    <w:rsid w:val="5B381AB1"/>
    <w:rsid w:val="5B461944"/>
    <w:rsid w:val="5B7420A1"/>
    <w:rsid w:val="5B7B57E4"/>
    <w:rsid w:val="5BBB5058"/>
    <w:rsid w:val="5BD243A7"/>
    <w:rsid w:val="5C3C3156"/>
    <w:rsid w:val="5C8D0ED7"/>
    <w:rsid w:val="5CDA25E4"/>
    <w:rsid w:val="5CE5313C"/>
    <w:rsid w:val="5CF026F7"/>
    <w:rsid w:val="5CF26D50"/>
    <w:rsid w:val="5D5417D5"/>
    <w:rsid w:val="5D641CA2"/>
    <w:rsid w:val="5DFE20F6"/>
    <w:rsid w:val="5E466D18"/>
    <w:rsid w:val="5ED40FA0"/>
    <w:rsid w:val="5F5244A8"/>
    <w:rsid w:val="600F227B"/>
    <w:rsid w:val="601D1AC7"/>
    <w:rsid w:val="604858AA"/>
    <w:rsid w:val="61377DF9"/>
    <w:rsid w:val="61F66396"/>
    <w:rsid w:val="6230766F"/>
    <w:rsid w:val="624539E5"/>
    <w:rsid w:val="62CF3899"/>
    <w:rsid w:val="62D502BE"/>
    <w:rsid w:val="63067C1B"/>
    <w:rsid w:val="63473BF7"/>
    <w:rsid w:val="636846D2"/>
    <w:rsid w:val="637644DD"/>
    <w:rsid w:val="64997931"/>
    <w:rsid w:val="64F92757"/>
    <w:rsid w:val="6500448E"/>
    <w:rsid w:val="65050A68"/>
    <w:rsid w:val="651D7306"/>
    <w:rsid w:val="65816A82"/>
    <w:rsid w:val="65934CB4"/>
    <w:rsid w:val="65C12F33"/>
    <w:rsid w:val="6663343E"/>
    <w:rsid w:val="66800934"/>
    <w:rsid w:val="669C425A"/>
    <w:rsid w:val="66BB3C46"/>
    <w:rsid w:val="66CB1EF3"/>
    <w:rsid w:val="66EA6378"/>
    <w:rsid w:val="671C05EE"/>
    <w:rsid w:val="6729734E"/>
    <w:rsid w:val="678216A2"/>
    <w:rsid w:val="67B76864"/>
    <w:rsid w:val="67FB310B"/>
    <w:rsid w:val="681A2200"/>
    <w:rsid w:val="690D7691"/>
    <w:rsid w:val="69E63400"/>
    <w:rsid w:val="6A462E5B"/>
    <w:rsid w:val="6B691723"/>
    <w:rsid w:val="6B87372B"/>
    <w:rsid w:val="6BB32772"/>
    <w:rsid w:val="6BB731DE"/>
    <w:rsid w:val="6BD33B66"/>
    <w:rsid w:val="6C6D2921"/>
    <w:rsid w:val="6CAB1A99"/>
    <w:rsid w:val="6CB905FE"/>
    <w:rsid w:val="6CD13207"/>
    <w:rsid w:val="6D65184A"/>
    <w:rsid w:val="6DAA1AD7"/>
    <w:rsid w:val="6DDA1B3E"/>
    <w:rsid w:val="6DF96BDC"/>
    <w:rsid w:val="6E2D7BB1"/>
    <w:rsid w:val="6E7D2BC3"/>
    <w:rsid w:val="6E8126B3"/>
    <w:rsid w:val="6EC92890"/>
    <w:rsid w:val="6F724E6B"/>
    <w:rsid w:val="6FB72105"/>
    <w:rsid w:val="6FE33E19"/>
    <w:rsid w:val="6FF61027"/>
    <w:rsid w:val="700E2297"/>
    <w:rsid w:val="70691BAC"/>
    <w:rsid w:val="709F6AD5"/>
    <w:rsid w:val="70DF230A"/>
    <w:rsid w:val="70F71AC9"/>
    <w:rsid w:val="717413EA"/>
    <w:rsid w:val="71C231AD"/>
    <w:rsid w:val="72033390"/>
    <w:rsid w:val="7245643F"/>
    <w:rsid w:val="73311B0F"/>
    <w:rsid w:val="73644660"/>
    <w:rsid w:val="739C7F8F"/>
    <w:rsid w:val="73CF5C6F"/>
    <w:rsid w:val="73F92CEC"/>
    <w:rsid w:val="74A03EB7"/>
    <w:rsid w:val="74A47F40"/>
    <w:rsid w:val="74EB320E"/>
    <w:rsid w:val="753015D1"/>
    <w:rsid w:val="75792336"/>
    <w:rsid w:val="759C6025"/>
    <w:rsid w:val="759F768D"/>
    <w:rsid w:val="76252513"/>
    <w:rsid w:val="76944F4E"/>
    <w:rsid w:val="7695676A"/>
    <w:rsid w:val="773A5315"/>
    <w:rsid w:val="78484242"/>
    <w:rsid w:val="78A21BA4"/>
    <w:rsid w:val="78C55892"/>
    <w:rsid w:val="79112886"/>
    <w:rsid w:val="79337152"/>
    <w:rsid w:val="79EB1329"/>
    <w:rsid w:val="79F9484F"/>
    <w:rsid w:val="7AB43463"/>
    <w:rsid w:val="7B0866E4"/>
    <w:rsid w:val="7BAD2DDD"/>
    <w:rsid w:val="7C0A4BD9"/>
    <w:rsid w:val="7C1E3C37"/>
    <w:rsid w:val="7D1D48E5"/>
    <w:rsid w:val="7DCC321F"/>
    <w:rsid w:val="7E1075B0"/>
    <w:rsid w:val="7E374B3D"/>
    <w:rsid w:val="7EC363D0"/>
    <w:rsid w:val="7F1A51FA"/>
    <w:rsid w:val="7F364A75"/>
    <w:rsid w:val="7FB935BA"/>
    <w:rsid w:val="7FC94D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99"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unhideWhenUsed/>
    <w:qFormat/>
    <w:uiPriority w:val="9"/>
    <w:pPr>
      <w:keepNext/>
      <w:keepLines/>
      <w:spacing w:before="160" w:after="80"/>
      <w:outlineLvl w:val="2"/>
    </w:pPr>
    <w:rPr>
      <w:rFonts w:asciiTheme="majorHAnsi" w:hAnsiTheme="majorHAnsi" w:eastAsiaTheme="majorEastAsia" w:cstheme="majorBidi"/>
      <w:color w:val="376092" w:themeColor="accent1" w:themeShade="BF"/>
      <w:sz w:val="32"/>
      <w:szCs w:val="32"/>
    </w:rPr>
  </w:style>
  <w:style w:type="paragraph" w:styleId="5">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ind w:firstLine="420"/>
    </w:pPr>
  </w:style>
  <w:style w:type="paragraph" w:styleId="7">
    <w:name w:val="Body Text 2"/>
    <w:basedOn w:val="1"/>
    <w:next w:val="1"/>
    <w:semiHidden/>
    <w:qFormat/>
    <w:uiPriority w:val="99"/>
    <w:pPr>
      <w:spacing w:after="120" w:line="480" w:lineRule="auto"/>
    </w:pPr>
    <w:rPr>
      <w:kern w:val="0"/>
      <w:sz w:val="20"/>
    </w:rPr>
  </w:style>
  <w:style w:type="paragraph" w:styleId="8">
    <w:name w:val="Body Text"/>
    <w:basedOn w:val="1"/>
    <w:next w:val="1"/>
    <w:qFormat/>
    <w:uiPriority w:val="0"/>
    <w:pPr>
      <w:spacing w:after="120"/>
    </w:pPr>
  </w:style>
  <w:style w:type="paragraph" w:styleId="9">
    <w:name w:val="Body Text Indent"/>
    <w:basedOn w:val="1"/>
    <w:semiHidden/>
    <w:qFormat/>
    <w:uiPriority w:val="99"/>
    <w:pPr>
      <w:spacing w:after="120"/>
      <w:ind w:left="420" w:leftChars="200"/>
    </w:pPr>
    <w:rPr>
      <w:kern w:val="0"/>
      <w:sz w:val="20"/>
    </w:rPr>
  </w:style>
  <w:style w:type="paragraph" w:styleId="10">
    <w:name w:val="index 4"/>
    <w:basedOn w:val="1"/>
    <w:next w:val="1"/>
    <w:unhideWhenUsed/>
    <w:qFormat/>
    <w:uiPriority w:val="99"/>
    <w:pPr>
      <w:widowControl/>
      <w:ind w:left="600" w:leftChars="600"/>
      <w:textAlignment w:val="baseline"/>
    </w:pPr>
    <w:rPr>
      <w:rFonts w:ascii="Times New Roman" w:hAnsi="Times New Roman" w:eastAsia="宋体" w:cs="Times New Roman"/>
    </w:rPr>
  </w:style>
  <w:style w:type="paragraph" w:styleId="11">
    <w:name w:val="toc 3"/>
    <w:basedOn w:val="1"/>
    <w:next w:val="1"/>
    <w:qFormat/>
    <w:uiPriority w:val="0"/>
    <w:pPr>
      <w:ind w:left="840" w:leftChars="400"/>
    </w:pPr>
  </w:style>
  <w:style w:type="paragraph" w:styleId="12">
    <w:name w:val="Plain Text"/>
    <w:basedOn w:val="1"/>
    <w:qFormat/>
    <w:uiPriority w:val="99"/>
    <w:rPr>
      <w:rFonts w:ascii="宋体" w:hAnsi="Courier New"/>
      <w:kern w:val="0"/>
      <w:sz w:val="20"/>
    </w:rPr>
  </w:style>
  <w:style w:type="paragraph" w:styleId="13">
    <w:name w:val="Body Text Indent 2"/>
    <w:basedOn w:val="1"/>
    <w:qFormat/>
    <w:uiPriority w:val="0"/>
    <w:pPr>
      <w:ind w:firstLine="570"/>
    </w:pPr>
    <w:rPr>
      <w:sz w:val="32"/>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toc 1"/>
    <w:basedOn w:val="1"/>
    <w:next w:val="1"/>
    <w:qFormat/>
    <w:uiPriority w:val="0"/>
  </w:style>
  <w:style w:type="paragraph" w:styleId="17">
    <w:name w:val="footnote text"/>
    <w:basedOn w:val="1"/>
    <w:qFormat/>
    <w:uiPriority w:val="99"/>
    <w:rPr>
      <w:sz w:val="20"/>
      <w:szCs w:val="20"/>
    </w:rPr>
  </w:style>
  <w:style w:type="paragraph" w:styleId="18">
    <w:name w:val="toc 2"/>
    <w:basedOn w:val="1"/>
    <w:next w:val="1"/>
    <w:qFormat/>
    <w:uiPriority w:val="0"/>
    <w:pPr>
      <w:ind w:left="420" w:leftChars="200"/>
    </w:pPr>
  </w:style>
  <w:style w:type="paragraph" w:styleId="19">
    <w:name w:val="Normal (Web)"/>
    <w:basedOn w:val="1"/>
    <w:qFormat/>
    <w:uiPriority w:val="99"/>
    <w:pPr>
      <w:spacing w:before="100" w:beforeAutospacing="1" w:after="100" w:afterAutospacing="1"/>
      <w:jc w:val="left"/>
    </w:pPr>
    <w:rPr>
      <w:kern w:val="0"/>
      <w:sz w:val="24"/>
      <w:szCs w:val="24"/>
    </w:rPr>
  </w:style>
  <w:style w:type="paragraph" w:styleId="20">
    <w:name w:val="Body Text First Indent"/>
    <w:basedOn w:val="8"/>
    <w:next w:val="21"/>
    <w:qFormat/>
    <w:uiPriority w:val="99"/>
    <w:pPr>
      <w:spacing w:line="360" w:lineRule="auto"/>
      <w:ind w:firstLine="976" w:firstLineChars="200"/>
    </w:pPr>
    <w:rPr>
      <w:sz w:val="28"/>
      <w:szCs w:val="28"/>
    </w:rPr>
  </w:style>
  <w:style w:type="paragraph" w:styleId="21">
    <w:name w:val="Body Text First Indent 2"/>
    <w:basedOn w:val="9"/>
    <w:next w:val="6"/>
    <w:qFormat/>
    <w:uiPriority w:val="99"/>
    <w:pPr>
      <w:ind w:firstLine="420" w:firstLineChars="200"/>
    </w:pPr>
  </w:style>
  <w:style w:type="table" w:styleId="23">
    <w:name w:val="Table Grid"/>
    <w:basedOn w:val="22"/>
    <w:qFormat/>
    <w:uiPriority w:val="59"/>
    <w:rPr>
      <w:rFonts w:ascii="Calibri" w:hAnsi="Calibri" w:cs="Calibr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bCs/>
    </w:rPr>
  </w:style>
  <w:style w:type="character" w:styleId="26">
    <w:name w:val="FollowedHyperlink"/>
    <w:basedOn w:val="24"/>
    <w:qFormat/>
    <w:uiPriority w:val="0"/>
    <w:rPr>
      <w:color w:val="1F3149"/>
      <w:u w:val="none"/>
    </w:rPr>
  </w:style>
  <w:style w:type="character" w:styleId="27">
    <w:name w:val="HTML Definition"/>
    <w:basedOn w:val="24"/>
    <w:qFormat/>
    <w:uiPriority w:val="0"/>
    <w:rPr>
      <w:i/>
      <w:iCs/>
    </w:rPr>
  </w:style>
  <w:style w:type="character" w:styleId="28">
    <w:name w:val="Hyperlink"/>
    <w:basedOn w:val="24"/>
    <w:qFormat/>
    <w:uiPriority w:val="99"/>
    <w:rPr>
      <w:rFonts w:cs="Times New Roman"/>
      <w:color w:val="338DE6"/>
      <w:u w:val="none"/>
    </w:rPr>
  </w:style>
  <w:style w:type="character" w:styleId="29">
    <w:name w:val="HTML Code"/>
    <w:basedOn w:val="24"/>
    <w:qFormat/>
    <w:uiPriority w:val="0"/>
    <w:rPr>
      <w:rFonts w:ascii="Consolas" w:hAnsi="Consolas" w:eastAsia="Consolas" w:cs="Consolas"/>
      <w:color w:val="C7254E"/>
      <w:sz w:val="21"/>
      <w:szCs w:val="21"/>
      <w:shd w:val="clear" w:color="auto" w:fill="F9F2F4"/>
    </w:rPr>
  </w:style>
  <w:style w:type="character" w:styleId="30">
    <w:name w:val="HTML Keyboard"/>
    <w:basedOn w:val="24"/>
    <w:qFormat/>
    <w:uiPriority w:val="0"/>
    <w:rPr>
      <w:rFonts w:hint="default" w:ascii="Consolas" w:hAnsi="Consolas" w:eastAsia="Consolas" w:cs="Consolas"/>
      <w:color w:val="FFFFFF"/>
      <w:sz w:val="21"/>
      <w:szCs w:val="21"/>
      <w:shd w:val="clear" w:color="auto" w:fill="333333"/>
    </w:rPr>
  </w:style>
  <w:style w:type="character" w:styleId="31">
    <w:name w:val="HTML Sample"/>
    <w:basedOn w:val="24"/>
    <w:qFormat/>
    <w:uiPriority w:val="0"/>
    <w:rPr>
      <w:rFonts w:hint="default" w:ascii="Consolas" w:hAnsi="Consolas" w:eastAsia="Consolas" w:cs="Consolas"/>
      <w:sz w:val="21"/>
      <w:szCs w:val="21"/>
    </w:rPr>
  </w:style>
  <w:style w:type="paragraph" w:customStyle="1" w:styleId="32">
    <w:name w:val="Default"/>
    <w:next w:val="1"/>
    <w:qFormat/>
    <w:uiPriority w:val="0"/>
    <w:pPr>
      <w:widowControl w:val="0"/>
      <w:autoSpaceDE w:val="0"/>
      <w:autoSpaceDN w:val="0"/>
    </w:pPr>
    <w:rPr>
      <w:rFonts w:ascii="宋体" w:hAnsi="Times New Roman" w:eastAsia="宋体" w:cs="Times New Roman"/>
      <w:color w:val="000000"/>
      <w:sz w:val="24"/>
      <w:szCs w:val="24"/>
      <w:lang w:val="en-US" w:eastAsia="zh-CN" w:bidi="ar-SA"/>
    </w:rPr>
  </w:style>
  <w:style w:type="paragraph" w:customStyle="1" w:styleId="33">
    <w:name w:val="标题 11"/>
    <w:basedOn w:val="1"/>
    <w:link w:val="40"/>
    <w:qFormat/>
    <w:uiPriority w:val="0"/>
    <w:pPr>
      <w:keepNext/>
      <w:keepLines/>
      <w:spacing w:before="340" w:after="330" w:line="578" w:lineRule="auto"/>
      <w:outlineLvl w:val="0"/>
    </w:pPr>
    <w:rPr>
      <w:b/>
      <w:bCs/>
      <w:kern w:val="44"/>
      <w:sz w:val="44"/>
      <w:szCs w:val="44"/>
    </w:rPr>
  </w:style>
  <w:style w:type="paragraph" w:customStyle="1" w:styleId="34">
    <w:name w:val="标题 21"/>
    <w:basedOn w:val="1"/>
    <w:link w:val="39"/>
    <w:qFormat/>
    <w:uiPriority w:val="0"/>
    <w:pPr>
      <w:keepNext/>
      <w:keepLines/>
      <w:spacing w:before="260" w:after="260" w:line="416" w:lineRule="auto"/>
      <w:outlineLvl w:val="1"/>
    </w:pPr>
    <w:rPr>
      <w:rFonts w:ascii="Arial" w:hAnsi="Arial" w:eastAsia="黑体"/>
      <w:b/>
      <w:bCs/>
      <w:sz w:val="32"/>
      <w:szCs w:val="32"/>
    </w:rPr>
  </w:style>
  <w:style w:type="paragraph" w:customStyle="1" w:styleId="35">
    <w:name w:val="标题 31"/>
    <w:basedOn w:val="1"/>
    <w:link w:val="41"/>
    <w:qFormat/>
    <w:uiPriority w:val="0"/>
    <w:pPr>
      <w:keepNext/>
      <w:keepLines/>
      <w:numPr>
        <w:ilvl w:val="2"/>
        <w:numId w:val="1"/>
      </w:numPr>
      <w:spacing w:line="413" w:lineRule="auto"/>
      <w:outlineLvl w:val="2"/>
    </w:pPr>
    <w:rPr>
      <w:b/>
      <w:sz w:val="32"/>
    </w:rPr>
  </w:style>
  <w:style w:type="paragraph" w:customStyle="1" w:styleId="36">
    <w:name w:val="标题 41"/>
    <w:basedOn w:val="1"/>
    <w:qFormat/>
    <w:uiPriority w:val="0"/>
    <w:pPr>
      <w:keepNext/>
      <w:keepLines/>
      <w:spacing w:line="374" w:lineRule="auto"/>
      <w:outlineLvl w:val="3"/>
    </w:pPr>
    <w:rPr>
      <w:rFonts w:ascii="Arial" w:hAnsi="Arial" w:eastAsia="黑体"/>
      <w:b/>
      <w:bCs/>
      <w:sz w:val="28"/>
      <w:szCs w:val="28"/>
    </w:rPr>
  </w:style>
  <w:style w:type="character" w:customStyle="1" w:styleId="37">
    <w:name w:val="默认段落字体1"/>
    <w:qFormat/>
    <w:uiPriority w:val="0"/>
  </w:style>
  <w:style w:type="table" w:customStyle="1" w:styleId="38">
    <w:name w:val="普通表格1"/>
    <w:qFormat/>
    <w:uiPriority w:val="0"/>
    <w:rPr>
      <w:rFonts w:ascii="Calibri" w:hAnsi="Calibri"/>
      <w:kern w:val="2"/>
      <w:sz w:val="21"/>
      <w:szCs w:val="22"/>
    </w:rPr>
    <w:tblPr>
      <w:tblCellMar>
        <w:top w:w="0" w:type="dxa"/>
        <w:left w:w="0" w:type="dxa"/>
        <w:bottom w:w="0" w:type="dxa"/>
        <w:right w:w="0" w:type="dxa"/>
      </w:tblCellMar>
    </w:tblPr>
  </w:style>
  <w:style w:type="character" w:customStyle="1" w:styleId="39">
    <w:name w:val="标题 2 Char"/>
    <w:link w:val="34"/>
    <w:qFormat/>
    <w:uiPriority w:val="0"/>
    <w:rPr>
      <w:rFonts w:ascii="Arial" w:hAnsi="Arial" w:eastAsia="黑体"/>
      <w:b/>
      <w:bCs/>
      <w:kern w:val="2"/>
      <w:sz w:val="32"/>
      <w:szCs w:val="32"/>
      <w:lang w:val="en-US" w:eastAsia="zh-CN"/>
    </w:rPr>
  </w:style>
  <w:style w:type="character" w:customStyle="1" w:styleId="40">
    <w:name w:val="标题 1 Char"/>
    <w:link w:val="33"/>
    <w:qFormat/>
    <w:uiPriority w:val="0"/>
    <w:rPr>
      <w:b/>
      <w:bCs/>
      <w:kern w:val="44"/>
      <w:sz w:val="44"/>
      <w:szCs w:val="44"/>
    </w:rPr>
  </w:style>
  <w:style w:type="character" w:customStyle="1" w:styleId="41">
    <w:name w:val="标题 3 Char"/>
    <w:link w:val="35"/>
    <w:qFormat/>
    <w:uiPriority w:val="0"/>
    <w:rPr>
      <w:b/>
      <w:kern w:val="2"/>
      <w:sz w:val="32"/>
      <w:szCs w:val="21"/>
    </w:rPr>
  </w:style>
  <w:style w:type="paragraph" w:customStyle="1" w:styleId="42">
    <w:name w:val="正文缩进1"/>
    <w:basedOn w:val="1"/>
    <w:qFormat/>
    <w:uiPriority w:val="0"/>
    <w:pPr>
      <w:ind w:firstLine="420"/>
      <w:jc w:val="left"/>
    </w:pPr>
    <w:rPr>
      <w:rFonts w:ascii="宋体" w:hAnsi="宋体"/>
      <w:kern w:val="0"/>
      <w:szCs w:val="20"/>
    </w:rPr>
  </w:style>
  <w:style w:type="paragraph" w:customStyle="1" w:styleId="43">
    <w:name w:val="正文文本 21"/>
    <w:basedOn w:val="1"/>
    <w:qFormat/>
    <w:uiPriority w:val="0"/>
    <w:pPr>
      <w:jc w:val="center"/>
    </w:pPr>
  </w:style>
  <w:style w:type="paragraph" w:customStyle="1" w:styleId="44">
    <w:name w:val="批注文字1"/>
    <w:basedOn w:val="1"/>
    <w:link w:val="45"/>
    <w:qFormat/>
    <w:uiPriority w:val="0"/>
    <w:pPr>
      <w:jc w:val="left"/>
    </w:pPr>
    <w:rPr>
      <w:sz w:val="24"/>
      <w:szCs w:val="24"/>
    </w:rPr>
  </w:style>
  <w:style w:type="character" w:customStyle="1" w:styleId="45">
    <w:name w:val="批注文字 Char"/>
    <w:link w:val="44"/>
    <w:qFormat/>
    <w:uiPriority w:val="0"/>
    <w:rPr>
      <w:kern w:val="2"/>
      <w:sz w:val="24"/>
      <w:szCs w:val="24"/>
    </w:rPr>
  </w:style>
  <w:style w:type="paragraph" w:customStyle="1" w:styleId="46">
    <w:name w:val="正文文本1"/>
    <w:basedOn w:val="1"/>
    <w:link w:val="47"/>
    <w:qFormat/>
    <w:uiPriority w:val="0"/>
    <w:pPr>
      <w:spacing w:after="120"/>
    </w:pPr>
  </w:style>
  <w:style w:type="character" w:customStyle="1" w:styleId="47">
    <w:name w:val="正文文本 Char"/>
    <w:link w:val="46"/>
    <w:qFormat/>
    <w:uiPriority w:val="0"/>
    <w:rPr>
      <w:kern w:val="2"/>
      <w:sz w:val="21"/>
      <w:szCs w:val="21"/>
    </w:rPr>
  </w:style>
  <w:style w:type="paragraph" w:customStyle="1" w:styleId="48">
    <w:name w:val="正文文本缩进1"/>
    <w:basedOn w:val="1"/>
    <w:qFormat/>
    <w:uiPriority w:val="0"/>
    <w:pPr>
      <w:spacing w:line="360" w:lineRule="auto"/>
      <w:ind w:firstLine="420" w:firstLineChars="200"/>
      <w:outlineLvl w:val="0"/>
    </w:pPr>
    <w:rPr>
      <w:color w:val="000000"/>
    </w:rPr>
  </w:style>
  <w:style w:type="paragraph" w:customStyle="1" w:styleId="49">
    <w:name w:val="列表 21"/>
    <w:basedOn w:val="1"/>
    <w:qFormat/>
    <w:uiPriority w:val="0"/>
    <w:pPr>
      <w:ind w:left="100" w:leftChars="200" w:hanging="200" w:hangingChars="200"/>
      <w:contextualSpacing/>
    </w:pPr>
  </w:style>
  <w:style w:type="paragraph" w:customStyle="1" w:styleId="50">
    <w:name w:val="目录 31"/>
    <w:basedOn w:val="1"/>
    <w:qFormat/>
    <w:uiPriority w:val="0"/>
    <w:pPr>
      <w:ind w:left="840" w:leftChars="400"/>
    </w:pPr>
  </w:style>
  <w:style w:type="paragraph" w:customStyle="1" w:styleId="51">
    <w:name w:val="纯文本11"/>
    <w:basedOn w:val="1"/>
    <w:link w:val="52"/>
    <w:qFormat/>
    <w:uiPriority w:val="0"/>
    <w:rPr>
      <w:rFonts w:ascii="宋体" w:hAnsi="Courier New"/>
      <w:kern w:val="0"/>
      <w:sz w:val="20"/>
    </w:rPr>
  </w:style>
  <w:style w:type="character" w:customStyle="1" w:styleId="52">
    <w:name w:val="纯文本 Char"/>
    <w:link w:val="51"/>
    <w:semiHidden/>
    <w:qFormat/>
    <w:uiPriority w:val="0"/>
    <w:rPr>
      <w:rFonts w:ascii="宋体" w:hAnsi="Courier New"/>
      <w:szCs w:val="21"/>
    </w:rPr>
  </w:style>
  <w:style w:type="paragraph" w:customStyle="1" w:styleId="53">
    <w:name w:val="日期1"/>
    <w:basedOn w:val="1"/>
    <w:link w:val="54"/>
    <w:qFormat/>
    <w:uiPriority w:val="0"/>
    <w:rPr>
      <w:kern w:val="0"/>
      <w:sz w:val="20"/>
    </w:rPr>
  </w:style>
  <w:style w:type="character" w:customStyle="1" w:styleId="54">
    <w:name w:val="日期 Char"/>
    <w:link w:val="53"/>
    <w:semiHidden/>
    <w:qFormat/>
    <w:uiPriority w:val="0"/>
    <w:rPr>
      <w:szCs w:val="21"/>
    </w:rPr>
  </w:style>
  <w:style w:type="paragraph" w:customStyle="1" w:styleId="55">
    <w:name w:val="正文文本缩进 211"/>
    <w:basedOn w:val="1"/>
    <w:qFormat/>
    <w:uiPriority w:val="0"/>
    <w:pPr>
      <w:ind w:firstLine="570"/>
    </w:pPr>
    <w:rPr>
      <w:sz w:val="32"/>
    </w:rPr>
  </w:style>
  <w:style w:type="paragraph" w:customStyle="1" w:styleId="56">
    <w:name w:val="批注框文本1"/>
    <w:basedOn w:val="1"/>
    <w:link w:val="57"/>
    <w:qFormat/>
    <w:uiPriority w:val="0"/>
    <w:rPr>
      <w:kern w:val="0"/>
      <w:sz w:val="16"/>
      <w:szCs w:val="16"/>
    </w:rPr>
  </w:style>
  <w:style w:type="character" w:customStyle="1" w:styleId="57">
    <w:name w:val="批注框文本 Char"/>
    <w:link w:val="56"/>
    <w:qFormat/>
    <w:uiPriority w:val="0"/>
    <w:rPr>
      <w:sz w:val="16"/>
      <w:szCs w:val="0"/>
    </w:rPr>
  </w:style>
  <w:style w:type="paragraph" w:customStyle="1" w:styleId="58">
    <w:name w:val="页脚1"/>
    <w:basedOn w:val="1"/>
    <w:link w:val="59"/>
    <w:qFormat/>
    <w:uiPriority w:val="0"/>
    <w:pPr>
      <w:tabs>
        <w:tab w:val="center" w:pos="4153"/>
        <w:tab w:val="right" w:pos="8306"/>
      </w:tabs>
      <w:snapToGrid w:val="0"/>
      <w:jc w:val="left"/>
    </w:pPr>
    <w:rPr>
      <w:kern w:val="0"/>
      <w:sz w:val="18"/>
      <w:szCs w:val="18"/>
    </w:rPr>
  </w:style>
  <w:style w:type="character" w:customStyle="1" w:styleId="59">
    <w:name w:val="页脚 Char"/>
    <w:link w:val="58"/>
    <w:qFormat/>
    <w:uiPriority w:val="0"/>
    <w:rPr>
      <w:sz w:val="18"/>
      <w:szCs w:val="18"/>
    </w:rPr>
  </w:style>
  <w:style w:type="paragraph" w:customStyle="1" w:styleId="60">
    <w:name w:val="页眉1"/>
    <w:basedOn w:val="1"/>
    <w:link w:val="61"/>
    <w:qFormat/>
    <w:uiPriority w:val="0"/>
    <w:pPr>
      <w:pBdr>
        <w:top w:val="none" w:color="000000" w:sz="0" w:space="1"/>
        <w:left w:val="none" w:color="000000" w:sz="0" w:space="4"/>
        <w:bottom w:val="none" w:color="000000" w:sz="0" w:space="1"/>
        <w:right w:val="none" w:color="000000" w:sz="0" w:space="4"/>
      </w:pBdr>
      <w:tabs>
        <w:tab w:val="center" w:pos="4153"/>
        <w:tab w:val="right" w:pos="8306"/>
      </w:tabs>
      <w:snapToGrid w:val="0"/>
    </w:pPr>
    <w:rPr>
      <w:kern w:val="0"/>
      <w:sz w:val="18"/>
      <w:szCs w:val="18"/>
    </w:rPr>
  </w:style>
  <w:style w:type="character" w:customStyle="1" w:styleId="61">
    <w:name w:val="页眉 Char"/>
    <w:link w:val="60"/>
    <w:qFormat/>
    <w:uiPriority w:val="0"/>
    <w:rPr>
      <w:sz w:val="18"/>
      <w:szCs w:val="18"/>
    </w:rPr>
  </w:style>
  <w:style w:type="paragraph" w:customStyle="1" w:styleId="62">
    <w:name w:val="目录 11"/>
    <w:basedOn w:val="1"/>
    <w:semiHidden/>
    <w:qFormat/>
    <w:uiPriority w:val="0"/>
    <w:pPr>
      <w:tabs>
        <w:tab w:val="right" w:leader="dot" w:pos="9288"/>
      </w:tabs>
      <w:spacing w:before="120" w:after="120" w:line="600" w:lineRule="exact"/>
      <w:jc w:val="left"/>
    </w:pPr>
    <w:rPr>
      <w:b/>
      <w:bCs/>
      <w:caps/>
      <w:sz w:val="20"/>
      <w:szCs w:val="20"/>
    </w:rPr>
  </w:style>
  <w:style w:type="paragraph" w:customStyle="1" w:styleId="63">
    <w:name w:val="正文文本缩进 31"/>
    <w:basedOn w:val="1"/>
    <w:link w:val="64"/>
    <w:qFormat/>
    <w:uiPriority w:val="0"/>
    <w:pPr>
      <w:ind w:firstLine="630"/>
    </w:pPr>
    <w:rPr>
      <w:sz w:val="28"/>
      <w:szCs w:val="28"/>
    </w:rPr>
  </w:style>
  <w:style w:type="character" w:customStyle="1" w:styleId="64">
    <w:name w:val="正文文本缩进 3 Char"/>
    <w:link w:val="63"/>
    <w:qFormat/>
    <w:uiPriority w:val="0"/>
    <w:rPr>
      <w:kern w:val="2"/>
      <w:sz w:val="28"/>
      <w:szCs w:val="28"/>
    </w:rPr>
  </w:style>
  <w:style w:type="paragraph" w:customStyle="1" w:styleId="65">
    <w:name w:val="目录 21"/>
    <w:basedOn w:val="1"/>
    <w:qFormat/>
    <w:uiPriority w:val="0"/>
    <w:pPr>
      <w:ind w:left="420" w:leftChars="200"/>
    </w:pPr>
  </w:style>
  <w:style w:type="paragraph" w:customStyle="1" w:styleId="66">
    <w:name w:val="信息标题1"/>
    <w:basedOn w:val="1"/>
    <w:link w:val="67"/>
    <w:qFormat/>
    <w:uiPriority w:val="0"/>
    <w:pPr>
      <w:pBdr>
        <w:top w:val="single" w:color="000000" w:sz="6" w:space="1"/>
        <w:left w:val="single" w:color="000000" w:sz="6" w:space="1"/>
        <w:bottom w:val="single" w:color="000000" w:sz="6" w:space="1"/>
        <w:right w:val="single" w:color="000000" w:sz="6" w:space="1"/>
      </w:pBdr>
      <w:shd w:val="pct20" w:color="auto" w:fill="auto"/>
      <w:ind w:left="1080" w:leftChars="500" w:hanging="1080" w:hangingChars="500"/>
    </w:pPr>
    <w:rPr>
      <w:rFonts w:ascii="Cambria" w:hAnsi="Cambria"/>
      <w:sz w:val="24"/>
      <w:szCs w:val="24"/>
    </w:rPr>
  </w:style>
  <w:style w:type="character" w:customStyle="1" w:styleId="67">
    <w:name w:val="信息标题 Char"/>
    <w:link w:val="66"/>
    <w:qFormat/>
    <w:uiPriority w:val="0"/>
    <w:rPr>
      <w:rFonts w:ascii="Cambria" w:hAnsi="Cambria" w:eastAsia="宋体"/>
      <w:kern w:val="2"/>
      <w:sz w:val="24"/>
      <w:szCs w:val="24"/>
      <w:shd w:val="pct20" w:color="auto" w:fill="auto"/>
    </w:rPr>
  </w:style>
  <w:style w:type="paragraph" w:customStyle="1" w:styleId="68">
    <w:name w:val="普通(网站)11"/>
    <w:basedOn w:val="1"/>
    <w:qFormat/>
    <w:uiPriority w:val="0"/>
    <w:pPr>
      <w:spacing w:before="100" w:beforeAutospacing="1" w:after="100" w:afterAutospacing="1"/>
      <w:jc w:val="left"/>
    </w:pPr>
    <w:rPr>
      <w:kern w:val="0"/>
      <w:sz w:val="24"/>
      <w:szCs w:val="24"/>
    </w:rPr>
  </w:style>
  <w:style w:type="paragraph" w:customStyle="1" w:styleId="69">
    <w:name w:val="批注主题1"/>
    <w:basedOn w:val="44"/>
    <w:link w:val="70"/>
    <w:qFormat/>
    <w:uiPriority w:val="0"/>
  </w:style>
  <w:style w:type="character" w:customStyle="1" w:styleId="70">
    <w:name w:val="批注主题 Char"/>
    <w:link w:val="69"/>
    <w:qFormat/>
    <w:uiPriority w:val="0"/>
    <w:rPr>
      <w:kern w:val="2"/>
      <w:sz w:val="24"/>
      <w:szCs w:val="24"/>
    </w:rPr>
  </w:style>
  <w:style w:type="paragraph" w:customStyle="1" w:styleId="71">
    <w:name w:val="正文首行缩进1"/>
    <w:basedOn w:val="46"/>
    <w:link w:val="72"/>
    <w:qFormat/>
    <w:uiPriority w:val="0"/>
    <w:pPr>
      <w:ind w:firstLine="420" w:firstLineChars="100"/>
    </w:pPr>
  </w:style>
  <w:style w:type="character" w:customStyle="1" w:styleId="72">
    <w:name w:val="正文首行缩进 Char"/>
    <w:basedOn w:val="47"/>
    <w:link w:val="71"/>
    <w:qFormat/>
    <w:uiPriority w:val="0"/>
    <w:rPr>
      <w:kern w:val="2"/>
      <w:sz w:val="21"/>
      <w:szCs w:val="21"/>
    </w:rPr>
  </w:style>
  <w:style w:type="paragraph" w:customStyle="1" w:styleId="73">
    <w:name w:val="正文首行缩进 21"/>
    <w:basedOn w:val="48"/>
    <w:qFormat/>
    <w:uiPriority w:val="0"/>
  </w:style>
  <w:style w:type="table" w:customStyle="1" w:styleId="74">
    <w:name w:val="网格型1"/>
    <w:basedOn w:val="38"/>
    <w:qFormat/>
    <w:uiPriority w:val="0"/>
    <w:rPr>
      <w:sz w:val="22"/>
    </w:rPr>
  </w:style>
  <w:style w:type="character" w:customStyle="1" w:styleId="75">
    <w:name w:val="要点1"/>
    <w:basedOn w:val="37"/>
    <w:qFormat/>
    <w:uiPriority w:val="0"/>
    <w:rPr>
      <w:b/>
    </w:rPr>
  </w:style>
  <w:style w:type="character" w:customStyle="1" w:styleId="76">
    <w:name w:val="页码1"/>
    <w:basedOn w:val="37"/>
    <w:qFormat/>
    <w:uiPriority w:val="0"/>
  </w:style>
  <w:style w:type="character" w:customStyle="1" w:styleId="77">
    <w:name w:val="已访问的超链接1"/>
    <w:qFormat/>
    <w:uiPriority w:val="0"/>
    <w:rPr>
      <w:color w:val="000000"/>
      <w:sz w:val="18"/>
      <w:szCs w:val="18"/>
      <w:u w:val="none"/>
    </w:rPr>
  </w:style>
  <w:style w:type="character" w:customStyle="1" w:styleId="78">
    <w:name w:val="超链接1"/>
    <w:qFormat/>
    <w:uiPriority w:val="0"/>
    <w:rPr>
      <w:color w:val="000000"/>
      <w:sz w:val="18"/>
      <w:szCs w:val="18"/>
      <w:u w:val="none"/>
    </w:rPr>
  </w:style>
  <w:style w:type="character" w:customStyle="1" w:styleId="79">
    <w:name w:val="批注引用1"/>
    <w:qFormat/>
    <w:uiPriority w:val="0"/>
    <w:rPr>
      <w:sz w:val="21"/>
      <w:szCs w:val="21"/>
    </w:rPr>
  </w:style>
  <w:style w:type="character" w:customStyle="1" w:styleId="80">
    <w:name w:val="font41"/>
    <w:basedOn w:val="24"/>
    <w:qFormat/>
    <w:uiPriority w:val="0"/>
    <w:rPr>
      <w:rFonts w:hint="eastAsia" w:ascii="宋体" w:hAnsi="宋体" w:eastAsia="宋体"/>
      <w:color w:val="000000"/>
      <w:sz w:val="22"/>
      <w:szCs w:val="22"/>
      <w:u w:val="none"/>
    </w:rPr>
  </w:style>
  <w:style w:type="character" w:customStyle="1" w:styleId="81">
    <w:name w:val="font11"/>
    <w:basedOn w:val="24"/>
    <w:qFormat/>
    <w:uiPriority w:val="0"/>
    <w:rPr>
      <w:rFonts w:ascii="宋体" w:hAnsi="宋体" w:eastAsia="宋体"/>
      <w:color w:val="000000"/>
      <w:sz w:val="32"/>
      <w:szCs w:val="32"/>
      <w:u w:val="none"/>
    </w:rPr>
  </w:style>
  <w:style w:type="character" w:customStyle="1" w:styleId="82">
    <w:name w:val="redfilefwwh"/>
    <w:qFormat/>
    <w:uiPriority w:val="0"/>
    <w:rPr>
      <w:color w:val="BA2636"/>
      <w:sz w:val="18"/>
      <w:szCs w:val="18"/>
    </w:rPr>
  </w:style>
  <w:style w:type="character" w:customStyle="1" w:styleId="83">
    <w:name w:val="font51"/>
    <w:qFormat/>
    <w:uiPriority w:val="0"/>
    <w:rPr>
      <w:rFonts w:ascii="Tahoma" w:hAnsi="Tahoma" w:eastAsia="Times New Roman"/>
      <w:color w:val="000000"/>
      <w:sz w:val="32"/>
      <w:szCs w:val="32"/>
      <w:u w:val="none"/>
    </w:rPr>
  </w:style>
  <w:style w:type="character" w:customStyle="1" w:styleId="84">
    <w:name w:val="font01"/>
    <w:qFormat/>
    <w:uiPriority w:val="0"/>
    <w:rPr>
      <w:rFonts w:ascii="宋体" w:hAnsi="宋体" w:eastAsia="宋体"/>
      <w:color w:val="000000"/>
      <w:sz w:val="32"/>
      <w:szCs w:val="32"/>
      <w:u w:val="none"/>
    </w:rPr>
  </w:style>
  <w:style w:type="character" w:customStyle="1" w:styleId="85">
    <w:name w:val="gjfg"/>
    <w:basedOn w:val="37"/>
    <w:qFormat/>
    <w:uiPriority w:val="0"/>
  </w:style>
  <w:style w:type="character" w:customStyle="1" w:styleId="86">
    <w:name w:val="font91"/>
    <w:basedOn w:val="24"/>
    <w:qFormat/>
    <w:uiPriority w:val="0"/>
    <w:rPr>
      <w:rFonts w:hint="eastAsia" w:ascii="宋体" w:hAnsi="宋体" w:eastAsia="宋体"/>
      <w:color w:val="000000"/>
      <w:sz w:val="20"/>
      <w:szCs w:val="20"/>
      <w:u w:val="none"/>
    </w:rPr>
  </w:style>
  <w:style w:type="character" w:customStyle="1" w:styleId="87">
    <w:name w:val="font61"/>
    <w:basedOn w:val="24"/>
    <w:qFormat/>
    <w:uiPriority w:val="0"/>
    <w:rPr>
      <w:rFonts w:ascii="Tahoma" w:hAnsi="Tahoma" w:eastAsia="Times New Roman"/>
      <w:color w:val="000000"/>
      <w:sz w:val="22"/>
      <w:szCs w:val="22"/>
      <w:u w:val="none"/>
    </w:rPr>
  </w:style>
  <w:style w:type="character" w:customStyle="1" w:styleId="88">
    <w:name w:val="font141"/>
    <w:qFormat/>
    <w:uiPriority w:val="0"/>
    <w:rPr>
      <w:rFonts w:ascii="Arial" w:hAnsi="Arial"/>
      <w:color w:val="000000"/>
      <w:sz w:val="18"/>
      <w:szCs w:val="18"/>
      <w:u w:val="none"/>
    </w:rPr>
  </w:style>
  <w:style w:type="character" w:customStyle="1" w:styleId="89">
    <w:name w:val="font101"/>
    <w:qFormat/>
    <w:uiPriority w:val="0"/>
    <w:rPr>
      <w:rFonts w:hint="eastAsia" w:ascii="宋体" w:hAnsi="宋体" w:eastAsia="宋体"/>
      <w:color w:val="000000"/>
      <w:sz w:val="18"/>
      <w:szCs w:val="18"/>
      <w:u w:val="none"/>
    </w:rPr>
  </w:style>
  <w:style w:type="character" w:customStyle="1" w:styleId="90">
    <w:name w:val="font31"/>
    <w:basedOn w:val="24"/>
    <w:qFormat/>
    <w:uiPriority w:val="0"/>
    <w:rPr>
      <w:rFonts w:ascii="宋体" w:hAnsi="宋体" w:eastAsia="宋体"/>
      <w:color w:val="000000"/>
      <w:sz w:val="22"/>
      <w:szCs w:val="22"/>
      <w:u w:val="none"/>
    </w:rPr>
  </w:style>
  <w:style w:type="character" w:customStyle="1" w:styleId="91">
    <w:name w:val="font131"/>
    <w:qFormat/>
    <w:uiPriority w:val="0"/>
    <w:rPr>
      <w:rFonts w:hint="eastAsia" w:ascii="宋体" w:hAnsi="宋体" w:eastAsia="宋体"/>
      <w:color w:val="000000"/>
      <w:sz w:val="20"/>
      <w:szCs w:val="20"/>
      <w:u w:val="none"/>
    </w:rPr>
  </w:style>
  <w:style w:type="character" w:customStyle="1" w:styleId="92">
    <w:name w:val="gb-jt"/>
    <w:qFormat/>
    <w:uiPriority w:val="0"/>
  </w:style>
  <w:style w:type="character" w:customStyle="1" w:styleId="93">
    <w:name w:val="qxdate"/>
    <w:qFormat/>
    <w:uiPriority w:val="0"/>
    <w:rPr>
      <w:color w:val="333333"/>
      <w:sz w:val="18"/>
      <w:szCs w:val="18"/>
    </w:rPr>
  </w:style>
  <w:style w:type="character" w:customStyle="1" w:styleId="94">
    <w:name w:val="font21"/>
    <w:qFormat/>
    <w:uiPriority w:val="0"/>
    <w:rPr>
      <w:rFonts w:ascii="宋体" w:hAnsi="宋体" w:eastAsia="宋体"/>
      <w:color w:val="000000"/>
      <w:sz w:val="22"/>
      <w:szCs w:val="22"/>
      <w:u w:val="none"/>
    </w:rPr>
  </w:style>
  <w:style w:type="character" w:customStyle="1" w:styleId="95">
    <w:name w:val="信息标题 字符"/>
    <w:semiHidden/>
    <w:qFormat/>
    <w:uiPriority w:val="0"/>
    <w:rPr>
      <w:rFonts w:ascii="Cambria" w:hAnsi="Cambria" w:eastAsia="宋体"/>
      <w:sz w:val="24"/>
      <w:szCs w:val="24"/>
      <w:shd w:val="pct20" w:color="auto" w:fill="auto"/>
    </w:rPr>
  </w:style>
  <w:style w:type="character" w:customStyle="1" w:styleId="96">
    <w:name w:val="cfdate"/>
    <w:qFormat/>
    <w:uiPriority w:val="0"/>
    <w:rPr>
      <w:color w:val="333333"/>
      <w:sz w:val="18"/>
      <w:szCs w:val="18"/>
    </w:rPr>
  </w:style>
  <w:style w:type="character" w:customStyle="1" w:styleId="97">
    <w:name w:val="displayarti"/>
    <w:qFormat/>
    <w:uiPriority w:val="0"/>
    <w:rPr>
      <w:color w:val="FFFFFF"/>
      <w:shd w:val="clear" w:color="auto" w:fill="A00000"/>
    </w:rPr>
  </w:style>
  <w:style w:type="character" w:customStyle="1" w:styleId="98">
    <w:name w:val="redfilenumber"/>
    <w:qFormat/>
    <w:uiPriority w:val="0"/>
    <w:rPr>
      <w:color w:val="BA2636"/>
      <w:sz w:val="18"/>
      <w:szCs w:val="18"/>
    </w:rPr>
  </w:style>
  <w:style w:type="paragraph" w:customStyle="1" w:styleId="99">
    <w:name w:val="WPS Plain"/>
    <w:qFormat/>
    <w:uiPriority w:val="0"/>
    <w:rPr>
      <w:rFonts w:ascii="Times New Roman" w:hAnsi="Times New Roman" w:eastAsia="宋体" w:cs="Times New Roman"/>
      <w:lang w:val="en-US" w:eastAsia="zh-CN" w:bidi="ar-SA"/>
    </w:rPr>
  </w:style>
  <w:style w:type="paragraph" w:customStyle="1" w:styleId="100">
    <w:name w:val="List Paragraph1"/>
    <w:basedOn w:val="1"/>
    <w:next w:val="1"/>
    <w:qFormat/>
    <w:uiPriority w:val="0"/>
    <w:pPr>
      <w:ind w:left="720"/>
    </w:pPr>
    <w:rPr>
      <w:rFonts w:ascii="Calibri" w:hAnsi="Calibri"/>
    </w:rPr>
  </w:style>
  <w:style w:type="paragraph" w:customStyle="1" w:styleId="101">
    <w:name w:val="列出段落1"/>
    <w:basedOn w:val="1"/>
    <w:qFormat/>
    <w:uiPriority w:val="0"/>
    <w:pPr>
      <w:ind w:firstLine="420" w:firstLineChars="200"/>
    </w:pPr>
    <w:rPr>
      <w:rFonts w:ascii="Calibri" w:hAnsi="Calibri"/>
      <w:szCs w:val="24"/>
    </w:rPr>
  </w:style>
  <w:style w:type="paragraph" w:customStyle="1" w:styleId="102">
    <w:name w:val="p0"/>
    <w:basedOn w:val="1"/>
    <w:qFormat/>
    <w:uiPriority w:val="0"/>
    <w:rPr>
      <w:kern w:val="0"/>
    </w:rPr>
  </w:style>
  <w:style w:type="paragraph" w:customStyle="1" w:styleId="103">
    <w:name w:val="GP正文(首行缩进)"/>
    <w:basedOn w:val="1"/>
    <w:qFormat/>
    <w:uiPriority w:val="0"/>
    <w:pPr>
      <w:spacing w:line="360" w:lineRule="auto"/>
      <w:ind w:firstLine="566" w:firstLineChars="236"/>
      <w:contextualSpacing/>
    </w:pPr>
    <w:rPr>
      <w:rFonts w:ascii="宋体" w:hAnsi="宋体"/>
      <w:sz w:val="24"/>
      <w:szCs w:val="24"/>
    </w:rPr>
  </w:style>
  <w:style w:type="paragraph" w:customStyle="1" w:styleId="104">
    <w:name w:val="列表段落1"/>
    <w:basedOn w:val="1"/>
    <w:qFormat/>
    <w:uiPriority w:val="0"/>
    <w:pPr>
      <w:ind w:firstLine="420" w:firstLineChars="200"/>
    </w:pPr>
    <w:rPr>
      <w:szCs w:val="22"/>
    </w:rPr>
  </w:style>
  <w:style w:type="paragraph" w:customStyle="1" w:styleId="105">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列出段落11"/>
    <w:basedOn w:val="1"/>
    <w:qFormat/>
    <w:uiPriority w:val="0"/>
    <w:pPr>
      <w:ind w:firstLine="420" w:firstLineChars="200"/>
    </w:pPr>
  </w:style>
  <w:style w:type="paragraph" w:customStyle="1" w:styleId="107">
    <w:name w:val="正文文本缩进 21"/>
    <w:basedOn w:val="1"/>
    <w:qFormat/>
    <w:uiPriority w:val="0"/>
    <w:pPr>
      <w:ind w:firstLine="570"/>
    </w:pPr>
    <w:rPr>
      <w:sz w:val="32"/>
    </w:rPr>
  </w:style>
  <w:style w:type="paragraph" w:customStyle="1" w:styleId="108">
    <w:name w:val="_Style 5"/>
    <w:basedOn w:val="1"/>
    <w:qFormat/>
    <w:uiPriority w:val="0"/>
    <w:pPr>
      <w:ind w:firstLine="420" w:firstLineChars="200"/>
    </w:pPr>
    <w:rPr>
      <w:szCs w:val="22"/>
    </w:rPr>
  </w:style>
  <w:style w:type="paragraph" w:styleId="109">
    <w:name w:val="List Paragraph"/>
    <w:basedOn w:val="1"/>
    <w:qFormat/>
    <w:uiPriority w:val="0"/>
    <w:pPr>
      <w:ind w:firstLine="420" w:firstLineChars="200"/>
    </w:pPr>
  </w:style>
  <w:style w:type="paragraph" w:customStyle="1" w:styleId="110">
    <w:name w:val="Body Text Indent 21"/>
    <w:basedOn w:val="1"/>
    <w:qFormat/>
    <w:uiPriority w:val="0"/>
    <w:pPr>
      <w:ind w:firstLine="570"/>
    </w:pPr>
    <w:rPr>
      <w:sz w:val="32"/>
    </w:rPr>
  </w:style>
  <w:style w:type="paragraph" w:customStyle="1" w:styleId="111">
    <w:name w:val="普通(网站)1"/>
    <w:basedOn w:val="1"/>
    <w:qFormat/>
    <w:uiPriority w:val="0"/>
    <w:rPr>
      <w:sz w:val="24"/>
    </w:rPr>
  </w:style>
  <w:style w:type="paragraph" w:customStyle="1" w:styleId="112">
    <w:name w:val="Table Paragraph"/>
    <w:basedOn w:val="1"/>
    <w:qFormat/>
    <w:uiPriority w:val="0"/>
  </w:style>
  <w:style w:type="paragraph" w:customStyle="1" w:styleId="113">
    <w:name w:val="正文：无缩进"/>
    <w:basedOn w:val="1"/>
    <w:qFormat/>
    <w:uiPriority w:val="0"/>
    <w:pPr>
      <w:spacing w:before="156" w:after="156"/>
      <w:jc w:val="left"/>
    </w:pPr>
    <w:rPr>
      <w:rFonts w:ascii="Calibri" w:hAnsi="Calibri"/>
      <w:bCs/>
      <w:color w:val="1F1C17"/>
      <w:kern w:val="0"/>
    </w:rPr>
  </w:style>
  <w:style w:type="paragraph" w:customStyle="1" w:styleId="114">
    <w:name w:val="正文格式"/>
    <w:qFormat/>
    <w:uiPriority w:val="0"/>
    <w:pPr>
      <w:spacing w:line="360" w:lineRule="auto"/>
      <w:ind w:firstLine="200" w:firstLineChars="200"/>
    </w:pPr>
    <w:rPr>
      <w:rFonts w:ascii="宋体" w:hAnsi="宋体" w:eastAsia="宋体" w:cs="Times New Roman"/>
      <w:kern w:val="2"/>
      <w:sz w:val="28"/>
      <w:szCs w:val="22"/>
      <w:lang w:val="en-US" w:eastAsia="zh-CN" w:bidi="ar-SA"/>
    </w:rPr>
  </w:style>
  <w:style w:type="character" w:customStyle="1" w:styleId="115">
    <w:name w:val="fontstyle01"/>
    <w:qFormat/>
    <w:uiPriority w:val="0"/>
    <w:rPr>
      <w:rFonts w:hint="eastAsia" w:ascii="宋体" w:hAnsi="宋体" w:eastAsia="宋体"/>
      <w:color w:val="000000"/>
      <w:sz w:val="22"/>
      <w:szCs w:val="22"/>
    </w:rPr>
  </w:style>
  <w:style w:type="character" w:customStyle="1" w:styleId="116">
    <w:name w:val="fontstyle21"/>
    <w:qFormat/>
    <w:uiPriority w:val="0"/>
    <w:rPr>
      <w:rFonts w:ascii="Times New Roman" w:hAnsi="Times New Roman"/>
      <w:color w:val="000000"/>
      <w:sz w:val="22"/>
      <w:szCs w:val="22"/>
    </w:rPr>
  </w:style>
  <w:style w:type="paragraph" w:customStyle="1" w:styleId="117">
    <w:name w:val="纯文本1"/>
    <w:basedOn w:val="1"/>
    <w:qFormat/>
    <w:uiPriority w:val="0"/>
    <w:rPr>
      <w:rFonts w:ascii="宋体" w:hAnsi="Courier New"/>
    </w:rPr>
  </w:style>
  <w:style w:type="paragraph" w:customStyle="1" w:styleId="118">
    <w:name w:val="Body Text First Indent1"/>
    <w:basedOn w:val="8"/>
    <w:qFormat/>
    <w:uiPriority w:val="0"/>
    <w:pPr>
      <w:spacing w:after="0"/>
      <w:ind w:firstLine="420" w:firstLineChars="100"/>
    </w:pPr>
    <w:rPr>
      <w:rFonts w:ascii="等线" w:hAnsi="等线" w:eastAsia="等线"/>
    </w:rPr>
  </w:style>
  <w:style w:type="character" w:customStyle="1" w:styleId="119">
    <w:name w:val="font81"/>
    <w:basedOn w:val="24"/>
    <w:qFormat/>
    <w:uiPriority w:val="0"/>
    <w:rPr>
      <w:rFonts w:hint="eastAsia" w:ascii="宋体" w:hAnsi="宋体" w:eastAsia="宋体" w:cs="宋体"/>
      <w:color w:val="000000"/>
      <w:sz w:val="20"/>
      <w:szCs w:val="20"/>
      <w:u w:val="none"/>
    </w:rPr>
  </w:style>
  <w:style w:type="character" w:customStyle="1" w:styleId="120">
    <w:name w:val="l_8"/>
    <w:basedOn w:val="24"/>
    <w:qFormat/>
    <w:uiPriority w:val="0"/>
  </w:style>
  <w:style w:type="character" w:customStyle="1" w:styleId="121">
    <w:name w:val="l_81"/>
    <w:basedOn w:val="24"/>
    <w:qFormat/>
    <w:uiPriority w:val="0"/>
  </w:style>
  <w:style w:type="character" w:customStyle="1" w:styleId="122">
    <w:name w:val="color-yellow"/>
    <w:basedOn w:val="24"/>
    <w:qFormat/>
    <w:uiPriority w:val="0"/>
    <w:rPr>
      <w:color w:val="FAAD14"/>
      <w:sz w:val="18"/>
      <w:szCs w:val="18"/>
      <w:bdr w:val="single" w:color="FAAD14" w:sz="6" w:space="0"/>
    </w:rPr>
  </w:style>
  <w:style w:type="character" w:customStyle="1" w:styleId="123">
    <w:name w:val="l_13"/>
    <w:basedOn w:val="24"/>
    <w:qFormat/>
    <w:uiPriority w:val="0"/>
  </w:style>
  <w:style w:type="character" w:customStyle="1" w:styleId="124">
    <w:name w:val="l_131"/>
    <w:basedOn w:val="24"/>
    <w:qFormat/>
    <w:uiPriority w:val="0"/>
  </w:style>
  <w:style w:type="character" w:customStyle="1" w:styleId="125">
    <w:name w:val="l_9"/>
    <w:basedOn w:val="24"/>
    <w:qFormat/>
    <w:uiPriority w:val="0"/>
  </w:style>
  <w:style w:type="character" w:customStyle="1" w:styleId="126">
    <w:name w:val="color-blue"/>
    <w:basedOn w:val="24"/>
    <w:qFormat/>
    <w:uiPriority w:val="0"/>
    <w:rPr>
      <w:color w:val="1890FF"/>
      <w:sz w:val="18"/>
      <w:szCs w:val="18"/>
      <w:bdr w:val="single" w:color="1890FF" w:sz="6" w:space="0"/>
    </w:rPr>
  </w:style>
  <w:style w:type="character" w:customStyle="1" w:styleId="127">
    <w:name w:val="l_4"/>
    <w:basedOn w:val="24"/>
    <w:qFormat/>
    <w:uiPriority w:val="0"/>
  </w:style>
  <w:style w:type="character" w:customStyle="1" w:styleId="128">
    <w:name w:val="l_5"/>
    <w:basedOn w:val="24"/>
    <w:qFormat/>
    <w:uiPriority w:val="0"/>
  </w:style>
  <w:style w:type="character" w:customStyle="1" w:styleId="129">
    <w:name w:val="l_51"/>
    <w:basedOn w:val="24"/>
    <w:qFormat/>
    <w:uiPriority w:val="0"/>
  </w:style>
  <w:style w:type="character" w:customStyle="1" w:styleId="130">
    <w:name w:val="icon_xglc"/>
    <w:basedOn w:val="24"/>
    <w:qFormat/>
    <w:uiPriority w:val="0"/>
  </w:style>
  <w:style w:type="character" w:customStyle="1" w:styleId="131">
    <w:name w:val="icon_cxkcyry"/>
    <w:basedOn w:val="24"/>
    <w:qFormat/>
    <w:uiPriority w:val="0"/>
  </w:style>
  <w:style w:type="character" w:customStyle="1" w:styleId="132">
    <w:name w:val="layui-laypage-curr"/>
    <w:basedOn w:val="24"/>
    <w:qFormat/>
    <w:uiPriority w:val="0"/>
  </w:style>
  <w:style w:type="character" w:customStyle="1" w:styleId="133">
    <w:name w:val="icon_lzrz"/>
    <w:basedOn w:val="24"/>
    <w:qFormat/>
    <w:uiPriority w:val="0"/>
  </w:style>
  <w:style w:type="character" w:customStyle="1" w:styleId="134">
    <w:name w:val="l_3"/>
    <w:basedOn w:val="24"/>
    <w:qFormat/>
    <w:uiPriority w:val="0"/>
  </w:style>
  <w:style w:type="character" w:customStyle="1" w:styleId="135">
    <w:name w:val="icon_gzkj"/>
    <w:basedOn w:val="24"/>
    <w:qFormat/>
    <w:uiPriority w:val="0"/>
  </w:style>
  <w:style w:type="character" w:customStyle="1" w:styleId="136">
    <w:name w:val="m-text"/>
    <w:basedOn w:val="24"/>
    <w:qFormat/>
    <w:uiPriority w:val="0"/>
  </w:style>
  <w:style w:type="character" w:customStyle="1" w:styleId="137">
    <w:name w:val="l_12"/>
    <w:basedOn w:val="24"/>
    <w:qFormat/>
    <w:uiPriority w:val="0"/>
  </w:style>
  <w:style w:type="character" w:customStyle="1" w:styleId="138">
    <w:name w:val="l_121"/>
    <w:basedOn w:val="24"/>
    <w:qFormat/>
    <w:uiPriority w:val="0"/>
  </w:style>
  <w:style w:type="character" w:customStyle="1" w:styleId="139">
    <w:name w:val="l_7"/>
    <w:basedOn w:val="24"/>
    <w:qFormat/>
    <w:uiPriority w:val="0"/>
  </w:style>
  <w:style w:type="character" w:customStyle="1" w:styleId="140">
    <w:name w:val="l_71"/>
    <w:basedOn w:val="24"/>
    <w:qFormat/>
    <w:uiPriority w:val="0"/>
  </w:style>
  <w:style w:type="character" w:customStyle="1" w:styleId="141">
    <w:name w:val="l_10"/>
    <w:basedOn w:val="24"/>
    <w:qFormat/>
    <w:uiPriority w:val="0"/>
  </w:style>
  <w:style w:type="character" w:customStyle="1" w:styleId="142">
    <w:name w:val="l_1"/>
    <w:basedOn w:val="24"/>
    <w:qFormat/>
    <w:uiPriority w:val="0"/>
  </w:style>
  <w:style w:type="character" w:customStyle="1" w:styleId="143">
    <w:name w:val="icon_xzry"/>
    <w:basedOn w:val="24"/>
    <w:qFormat/>
    <w:uiPriority w:val="0"/>
  </w:style>
  <w:style w:type="character" w:customStyle="1" w:styleId="144">
    <w:name w:val="l_14"/>
    <w:basedOn w:val="24"/>
    <w:qFormat/>
    <w:uiPriority w:val="0"/>
  </w:style>
  <w:style w:type="character" w:customStyle="1" w:styleId="145">
    <w:name w:val="l_141"/>
    <w:basedOn w:val="24"/>
    <w:qFormat/>
    <w:uiPriority w:val="0"/>
  </w:style>
  <w:style w:type="character" w:customStyle="1" w:styleId="146">
    <w:name w:val="l_6"/>
    <w:basedOn w:val="24"/>
    <w:qFormat/>
    <w:uiPriority w:val="0"/>
  </w:style>
  <w:style w:type="character" w:customStyle="1" w:styleId="147">
    <w:name w:val="l_61"/>
    <w:basedOn w:val="24"/>
    <w:qFormat/>
    <w:uiPriority w:val="0"/>
  </w:style>
  <w:style w:type="character" w:customStyle="1" w:styleId="148">
    <w:name w:val="l_2"/>
    <w:basedOn w:val="24"/>
    <w:qFormat/>
    <w:uiPriority w:val="0"/>
  </w:style>
  <w:style w:type="character" w:customStyle="1" w:styleId="149">
    <w:name w:val="l_21"/>
    <w:basedOn w:val="24"/>
    <w:qFormat/>
    <w:uiPriority w:val="0"/>
  </w:style>
  <w:style w:type="character" w:customStyle="1" w:styleId="150">
    <w:name w:val="l_0"/>
    <w:basedOn w:val="24"/>
    <w:qFormat/>
    <w:uiPriority w:val="0"/>
  </w:style>
  <w:style w:type="character" w:customStyle="1" w:styleId="151">
    <w:name w:val="l_01"/>
    <w:basedOn w:val="24"/>
    <w:qFormat/>
    <w:uiPriority w:val="0"/>
  </w:style>
  <w:style w:type="character" w:customStyle="1" w:styleId="152">
    <w:name w:val="l_11"/>
    <w:basedOn w:val="24"/>
    <w:qFormat/>
    <w:uiPriority w:val="0"/>
  </w:style>
  <w:style w:type="character" w:customStyle="1" w:styleId="153">
    <w:name w:val="l_111"/>
    <w:basedOn w:val="24"/>
    <w:qFormat/>
    <w:uiPriority w:val="0"/>
  </w:style>
  <w:style w:type="character" w:customStyle="1" w:styleId="154">
    <w:name w:val="l_15"/>
    <w:basedOn w:val="24"/>
    <w:qFormat/>
    <w:uiPriority w:val="0"/>
  </w:style>
  <w:style w:type="character" w:customStyle="1" w:styleId="155">
    <w:name w:val="l_151"/>
    <w:basedOn w:val="24"/>
    <w:qFormat/>
    <w:uiPriority w:val="0"/>
  </w:style>
  <w:style w:type="character" w:customStyle="1" w:styleId="156">
    <w:name w:val="icon_dljg"/>
    <w:basedOn w:val="24"/>
    <w:qFormat/>
    <w:uiPriority w:val="0"/>
  </w:style>
  <w:style w:type="character" w:customStyle="1" w:styleId="157">
    <w:name w:val="color_cdyy"/>
    <w:basedOn w:val="24"/>
    <w:qFormat/>
    <w:uiPriority w:val="0"/>
    <w:rPr>
      <w:color w:val="FFFFFF"/>
      <w:bdr w:val="single" w:color="FFFFFF" w:sz="6" w:space="0"/>
    </w:rPr>
  </w:style>
  <w:style w:type="character" w:customStyle="1" w:styleId="158">
    <w:name w:val="icon_cxktbr"/>
    <w:basedOn w:val="24"/>
    <w:qFormat/>
    <w:uiPriority w:val="0"/>
  </w:style>
  <w:style w:type="character" w:customStyle="1" w:styleId="159">
    <w:name w:val="first-child1"/>
    <w:basedOn w:val="24"/>
    <w:qFormat/>
    <w:uiPriority w:val="0"/>
  </w:style>
  <w:style w:type="character" w:customStyle="1" w:styleId="160">
    <w:name w:val="l_31"/>
    <w:basedOn w:val="24"/>
    <w:qFormat/>
    <w:uiPriority w:val="0"/>
  </w:style>
  <w:style w:type="character" w:customStyle="1" w:styleId="161">
    <w:name w:val="l_41"/>
    <w:basedOn w:val="24"/>
    <w:qFormat/>
    <w:uiPriority w:val="0"/>
  </w:style>
  <w:style w:type="character" w:customStyle="1" w:styleId="162">
    <w:name w:val="l_91"/>
    <w:basedOn w:val="24"/>
    <w:qFormat/>
    <w:uiPriority w:val="0"/>
  </w:style>
  <w:style w:type="character" w:customStyle="1" w:styleId="163">
    <w:name w:val="l_101"/>
    <w:basedOn w:val="24"/>
    <w:qFormat/>
    <w:uiPriority w:val="0"/>
  </w:style>
  <w:style w:type="character" w:customStyle="1" w:styleId="164">
    <w:name w:val="l_112"/>
    <w:basedOn w:val="24"/>
    <w:qFormat/>
    <w:uiPriority w:val="0"/>
  </w:style>
  <w:style w:type="character" w:customStyle="1" w:styleId="165">
    <w:name w:val="15"/>
    <w:basedOn w:val="24"/>
    <w:qFormat/>
    <w:uiPriority w:val="0"/>
    <w:rPr>
      <w:rFonts w:hint="default" w:ascii="Arial" w:hAnsi="Arial" w:eastAsia="黑体" w:cs="Arial"/>
      <w:b/>
      <w:bCs/>
      <w:sz w:val="30"/>
      <w:szCs w:val="30"/>
    </w:rPr>
  </w:style>
  <w:style w:type="character" w:customStyle="1" w:styleId="166">
    <w:name w:val="NormalCharacter"/>
    <w:qFormat/>
    <w:uiPriority w:val="0"/>
  </w:style>
  <w:style w:type="paragraph" w:customStyle="1" w:styleId="16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90</Pages>
  <Words>4024</Words>
  <Characters>4569</Characters>
  <Lines>336</Lines>
  <Paragraphs>94</Paragraphs>
  <TotalTime>48</TotalTime>
  <ScaleCrop>false</ScaleCrop>
  <LinksUpToDate>false</LinksUpToDate>
  <CharactersWithSpaces>4663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2023-08-15T09:47:00Z</dcterms:created>
  <dc:creator>WPS_1222511935</dc:creator>
  <cp:lastModifiedBy>WPS_1222511935</cp:lastModifiedBy>
  <cp:lastPrinted>2026-07-08T07:45:15Z</cp:lastPrinted>
  <dcterms:modified xsi:type="dcterms:W3CDTF">2026-07-08T08:42:13Z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FC4C40CE370A4B1A8191EA1D1F95E9B0_13</vt:lpwstr>
  </property>
  <property fmtid="{D5CDD505-2E9C-101B-9397-08002B2CF9AE}" pid="4" name="KSOTemplateDocerSaveRecord">
    <vt:lpwstr>eyJoZGlkIjoiZDU1YTE0NjE5NGY5MTg1MGJjZDY4NWQ2MTBjYWZhZjEiLCJ1c2VySWQiOiIxMjIyNTExOTM1In0=</vt:lpwstr>
  </property>
</Properties>
</file>